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5EE" w:rsidRDefault="00EC3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Федеральное государственное образовательное бюджетное</w:t>
      </w:r>
    </w:p>
    <w:p w:rsidR="002B35EE" w:rsidRDefault="00EC3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учреждение высшего образования</w:t>
      </w:r>
    </w:p>
    <w:p w:rsidR="002B35EE" w:rsidRDefault="00EC3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«ФИНАНСОВЫЙ УНИВЕРСИТЕТ ПРИ ПРАВИТЕЛЬСТВЕ</w:t>
      </w:r>
    </w:p>
    <w:p w:rsidR="002B35EE" w:rsidRDefault="00EC3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РОССИЙСКОЙ ФЕДЕРАЦИИ»</w:t>
      </w:r>
    </w:p>
    <w:p w:rsidR="002B35EE" w:rsidRDefault="00EC3E8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(Финансовый университет)</w:t>
      </w:r>
    </w:p>
    <w:p w:rsidR="002B35EE" w:rsidRDefault="002B35E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B35EE" w:rsidRDefault="00EC3E85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Кафедра банковского дела и монетарного регулирования</w:t>
      </w:r>
    </w:p>
    <w:p w:rsidR="002B35EE" w:rsidRDefault="00EC3E85">
      <w:pPr>
        <w:spacing w:after="0" w:line="240" w:lineRule="auto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Финансового факультета</w:t>
      </w:r>
    </w:p>
    <w:p w:rsidR="002B35EE" w:rsidRDefault="002B35E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B35EE" w:rsidRDefault="002B35E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6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7"/>
        <w:gridCol w:w="1796"/>
        <w:gridCol w:w="4471"/>
        <w:gridCol w:w="410"/>
      </w:tblGrid>
      <w:tr w:rsidR="002B35EE">
        <w:trPr>
          <w:trHeight w:val="1420"/>
        </w:trPr>
        <w:tc>
          <w:tcPr>
            <w:tcW w:w="4882" w:type="dxa"/>
            <w:gridSpan w:val="2"/>
          </w:tcPr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881" w:type="dxa"/>
            <w:gridSpan w:val="2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УТВЕРЖДАЮ </w:t>
            </w:r>
          </w:p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Проректор по учебной и 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методической работе </w:t>
            </w:r>
          </w:p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________ Е.А. Каменева </w:t>
            </w:r>
          </w:p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35EE" w:rsidRDefault="004253E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«25» марта</w:t>
            </w:r>
            <w:bookmarkStart w:id="0" w:name="_GoBack"/>
            <w:bookmarkEnd w:id="0"/>
            <w:r w:rsidR="00EC3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2024 г. </w:t>
            </w:r>
          </w:p>
        </w:tc>
      </w:tr>
      <w:tr w:rsidR="002B35EE">
        <w:tblPrEx>
          <w:tblLook w:val="00A0" w:firstRow="1" w:lastRow="0" w:firstColumn="1" w:lastColumn="0" w:noHBand="0" w:noVBand="0"/>
        </w:tblPrEx>
        <w:trPr>
          <w:gridAfter w:val="1"/>
          <w:wAfter w:w="410" w:type="dxa"/>
        </w:trPr>
        <w:tc>
          <w:tcPr>
            <w:tcW w:w="3086" w:type="dxa"/>
          </w:tcPr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35EE" w:rsidRDefault="002B35EE">
            <w:pPr>
              <w:widowControl w:val="0"/>
              <w:spacing w:after="0" w:line="240" w:lineRule="auto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  <w:gridSpan w:val="2"/>
          </w:tcPr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2B35EE">
              <w:trPr>
                <w:jc w:val="right"/>
              </w:trPr>
              <w:tc>
                <w:tcPr>
                  <w:tcW w:w="6566" w:type="dxa"/>
                </w:tcPr>
                <w:p w:rsidR="002B35EE" w:rsidRDefault="002B35EE">
                  <w:pPr>
                    <w:widowControl w:val="0"/>
                    <w:spacing w:line="360" w:lineRule="auto"/>
                    <w:jc w:val="right"/>
                    <w:rPr>
                      <w:rFonts w:ascii="Times New Roman" w:eastAsia="Batang" w:hAnsi="Times New Roman" w:cs="Times New Roman"/>
                      <w:sz w:val="28"/>
                    </w:rPr>
                  </w:pPr>
                </w:p>
              </w:tc>
            </w:tr>
            <w:tr w:rsidR="002B35EE">
              <w:trPr>
                <w:jc w:val="right"/>
              </w:trPr>
              <w:tc>
                <w:tcPr>
                  <w:tcW w:w="6566" w:type="dxa"/>
                </w:tcPr>
                <w:p w:rsidR="002B35EE" w:rsidRDefault="002B35EE">
                  <w:pPr>
                    <w:widowControl w:val="0"/>
                    <w:spacing w:line="360" w:lineRule="auto"/>
                    <w:jc w:val="center"/>
                    <w:rPr>
                      <w:rFonts w:ascii="Times New Roman" w:eastAsia="Batang" w:hAnsi="Times New Roman" w:cs="Times New Roman"/>
                      <w:sz w:val="28"/>
                    </w:rPr>
                  </w:pPr>
                </w:p>
              </w:tc>
            </w:tr>
          </w:tbl>
          <w:p w:rsidR="002B35EE" w:rsidRDefault="002B35EE">
            <w:pPr>
              <w:widowControl w:val="0"/>
              <w:tabs>
                <w:tab w:val="left" w:pos="2700"/>
              </w:tabs>
              <w:rPr>
                <w:rFonts w:ascii="Times New Roman" w:hAnsi="Times New Roman" w:cs="Times New Roman"/>
              </w:rPr>
            </w:pPr>
          </w:p>
        </w:tc>
      </w:tr>
    </w:tbl>
    <w:p w:rsidR="002B35EE" w:rsidRDefault="00EC3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Е.И. Мешкова, С.В. Зубкова, Е.В. Рябинина</w:t>
      </w:r>
    </w:p>
    <w:p w:rsidR="002B35EE" w:rsidRDefault="002B35EE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B35EE" w:rsidRDefault="00EC3E85">
      <w:pPr>
        <w:tabs>
          <w:tab w:val="left" w:pos="59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БАНКОВСКИЕ РИСКИ И СТРАТЕГИЯ РАЗВИТИЯ </w:t>
      </w:r>
    </w:p>
    <w:p w:rsidR="002B35EE" w:rsidRDefault="00EC3E85">
      <w:pPr>
        <w:tabs>
          <w:tab w:val="left" w:pos="5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КОММЕРЧЕСКОГО БАНКА</w:t>
      </w:r>
    </w:p>
    <w:p w:rsidR="002B35EE" w:rsidRDefault="002B3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35EE" w:rsidRDefault="00EC3E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2B35EE" w:rsidRDefault="002B35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2B35EE" w:rsidRDefault="00EC3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2B35EE" w:rsidRDefault="00EC3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38.03.01 - Экономика, ОП "Экономика и финансы", </w:t>
      </w:r>
    </w:p>
    <w:p w:rsidR="002B35EE" w:rsidRDefault="00EC3E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Профиль: "Банки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</w:t>
      </w:r>
    </w:p>
    <w:p w:rsidR="002B35EE" w:rsidRDefault="002B35E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2B35EE" w:rsidRDefault="002B35EE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2B35EE" w:rsidRDefault="00EC3E8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Рекомендовано Ученым советом Финансового факультета</w:t>
      </w:r>
    </w:p>
    <w:p w:rsidR="002B35EE" w:rsidRDefault="00EC3E85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(протокол № 43 от 19 марта 2024 г.)</w:t>
      </w:r>
    </w:p>
    <w:p w:rsidR="002B35EE" w:rsidRDefault="002B35EE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</w:p>
    <w:p w:rsidR="002B35EE" w:rsidRDefault="00EC3E8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Одобрено Кафедрой банковского дела и монетарного регулирования</w:t>
      </w:r>
    </w:p>
    <w:p w:rsidR="002B35EE" w:rsidRDefault="00EC3E85">
      <w:pPr>
        <w:spacing w:after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(протокол № 1 от 28 февраля 2024 г.)</w:t>
      </w:r>
    </w:p>
    <w:p w:rsidR="002B35EE" w:rsidRDefault="002B35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B35EE" w:rsidRDefault="002B35E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B35EE" w:rsidRDefault="00EC3E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Москва - 2024 </w:t>
      </w:r>
    </w:p>
    <w:p w:rsidR="002B35EE" w:rsidRDefault="002B35EE">
      <w:pPr>
        <w:pStyle w:val="af8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sdt>
      <w:sdtPr>
        <w:id w:val="924838308"/>
        <w:docPartObj>
          <w:docPartGallery w:val="Table of Contents"/>
          <w:docPartUnique/>
        </w:docPartObj>
      </w:sdtPr>
      <w:sdtEndPr/>
      <w:sdtContent>
        <w:p w:rsidR="002B35EE" w:rsidRPr="00C70CFE" w:rsidRDefault="00EC3E85">
          <w:pPr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 w:rsidRPr="00C70CFE">
            <w:rPr>
              <w:rFonts w:ascii="Times New Roman" w:hAnsi="Times New Roman" w:cs="Times New Roman"/>
              <w:b/>
              <w:bCs/>
              <w:sz w:val="28"/>
              <w:szCs w:val="28"/>
            </w:rPr>
            <w:t>Содержание</w:t>
          </w:r>
        </w:p>
        <w:p w:rsidR="00C70CFE" w:rsidRPr="00C70CFE" w:rsidRDefault="00EC3E85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C70CF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C70CFE">
            <w:rPr>
              <w:rFonts w:ascii="Times New Roman" w:hAnsi="Times New Roman" w:cs="Times New Roman"/>
              <w:webHidden/>
              <w:sz w:val="28"/>
              <w:szCs w:val="28"/>
            </w:rPr>
            <w:instrText>TOC \z \o "1-3" \u \h</w:instrText>
          </w:r>
          <w:r w:rsidRPr="00C70CF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7369865" w:history="1">
            <w:r w:rsidR="00C70CFE" w:rsidRPr="00C70CFE">
              <w:rPr>
                <w:rStyle w:val="afc"/>
                <w:rFonts w:ascii="Times New Roman" w:hAnsi="Times New Roman" w:cs="Times New Roman"/>
                <w:bCs/>
                <w:noProof/>
                <w:sz w:val="24"/>
                <w:szCs w:val="24"/>
              </w:rPr>
              <w:t>1. Наименование дисциплины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_Toc167369865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66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_Toc167369866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67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3. Место дисциплины в структуре образовательной программы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_Toc167369867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68" w:history="1">
            <w:r w:rsidR="00C70CFE" w:rsidRPr="00C70CFE">
              <w:rPr>
                <w:rStyle w:val="afc"/>
                <w:rFonts w:ascii="Times New Roman" w:hAnsi="Times New Roman" w:cs="Times New Roman"/>
                <w:bCs/>
                <w:noProof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_Toc167369868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69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5. Содержание дисциплины, структурирование по темам (разделам) дисциплины с указанием их объемов (в академических часах) и видов учебных занятий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_Toc167369869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0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5.1. Содержание дисциплины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_Toc167369870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1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5.2. Учебно-тематический план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_Toc167369871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2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5.3. Содержание семинаров, практических занятий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_Toc167369872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3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6. Перечень учебно-методического обеспечения для самостоятельной̆ работы обучающихся по дисциплине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_Toc167369873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4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_Toc167369874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5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_Toc167369875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6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7. Фонд оценочных средств для проведения промежуточной аттестации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_Toc167369876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79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_Toc167369879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27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80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_Toc167369880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30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81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студентов по освоению дисциплины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_Toc167369881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82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_Toc167369882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70CFE" w:rsidRPr="00C70CFE" w:rsidRDefault="00124C0D">
          <w:pPr>
            <w:pStyle w:val="11"/>
            <w:tabs>
              <w:tab w:val="left" w:pos="660"/>
              <w:tab w:val="right" w:leader="dot" w:pos="9344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67369886" w:history="1"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12.</w:t>
            </w:r>
            <w:r w:rsidR="00C70CFE" w:rsidRPr="00C70CFE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="00C70CFE" w:rsidRPr="00C70CFE">
              <w:rPr>
                <w:rStyle w:val="afc"/>
                <w:rFonts w:ascii="Times New Roman" w:hAnsi="Times New Roman" w:cs="Times New Roman"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_Toc167369886 \h </w:instrTex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C70CFE" w:rsidRPr="00C70CFE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B35EE" w:rsidRDefault="00EC3E85">
          <w:pPr>
            <w:pStyle w:val="11"/>
            <w:tabs>
              <w:tab w:val="left" w:pos="660"/>
              <w:tab w:val="right" w:leader="dot" w:pos="9629"/>
            </w:tabs>
            <w:rPr>
              <w:rFonts w:ascii="Times New Roman" w:hAnsi="Times New Roman" w:cs="Times New Roman"/>
              <w:sz w:val="26"/>
              <w:szCs w:val="26"/>
            </w:rPr>
          </w:pPr>
          <w:r w:rsidRPr="00C70CFE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2B35EE" w:rsidRDefault="00EC3E85">
      <w:pPr>
        <w:jc w:val="both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r>
        <w:br w:type="page"/>
      </w:r>
    </w:p>
    <w:p w:rsidR="002B35EE" w:rsidRDefault="00EC3E85" w:rsidP="00C70CFE">
      <w:pPr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167369865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</w:p>
    <w:p w:rsidR="002B35EE" w:rsidRDefault="00EC3E85">
      <w:pPr>
        <w:tabs>
          <w:tab w:val="left" w:pos="4104"/>
          <w:tab w:val="center" w:pos="4535"/>
          <w:tab w:val="right" w:pos="90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Дисциплина «Банковские риски и стратегия развития коммерческого банка» </w:t>
      </w:r>
    </w:p>
    <w:p w:rsidR="002B35EE" w:rsidRDefault="00EC3E85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67369866"/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3" w:name="_Toc92533356"/>
      <w:bookmarkStart w:id="4" w:name="_Toc28560380"/>
      <w:r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p w:rsidR="002B35EE" w:rsidRDefault="00EC3E85">
      <w:pPr>
        <w:tabs>
          <w:tab w:val="left" w:pos="81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b"/>
        <w:tblW w:w="9611" w:type="dxa"/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2551"/>
        <w:gridCol w:w="3374"/>
      </w:tblGrid>
      <w:tr w:rsidR="002B35EE">
        <w:tc>
          <w:tcPr>
            <w:tcW w:w="992" w:type="dxa"/>
            <w:vAlign w:val="center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3" w:type="dxa"/>
            <w:vAlign w:val="center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vAlign w:val="center"/>
          </w:tcPr>
          <w:p w:rsidR="002B35EE" w:rsidRDefault="00EC3E85">
            <w:pPr>
              <w:pStyle w:val="af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Индикаторы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374" w:type="dxa"/>
            <w:vAlign w:val="center"/>
          </w:tcPr>
          <w:p w:rsidR="002B35EE" w:rsidRDefault="00EC3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B35EE">
        <w:tc>
          <w:tcPr>
            <w:tcW w:w="992" w:type="dxa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2693" w:type="dxa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осуществлять мониторинг рисков в целях нейтрализации</w:t>
            </w:r>
          </w:p>
        </w:tc>
        <w:tc>
          <w:tcPr>
            <w:tcW w:w="2551" w:type="dxa"/>
          </w:tcPr>
          <w:p w:rsidR="002B35EE" w:rsidRDefault="00EC3E85">
            <w:pPr>
              <w:widowControl w:val="0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3374" w:type="dxa"/>
          </w:tcPr>
          <w:p w:rsidR="002B35EE" w:rsidRDefault="00EC3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современных методик и инструментов анализа и регулирования рисков финансовых технологий в банке и других институтах финансового рынка </w:t>
            </w:r>
          </w:p>
          <w:p w:rsidR="002B35EE" w:rsidRDefault="002B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знание методик и современных инструментов анализа и регулирования рисков финансовых технологий в банке и других институтах финансового рынка</w:t>
            </w:r>
          </w:p>
          <w:p w:rsidR="002B35EE" w:rsidRDefault="002B35EE">
            <w:pPr>
              <w:pStyle w:val="af7"/>
              <w:spacing w:beforeAutospacing="0" w:after="0" w:afterAutospacing="0"/>
              <w:jc w:val="both"/>
              <w:rPr>
                <w:b/>
              </w:rPr>
            </w:pP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способов абсорбции рисков, классических и специфических методов их ограничения на макро и микроуровнях, методических основ анализа и оценки рисков кредитных организаций.</w:t>
            </w:r>
          </w:p>
          <w:p w:rsidR="002B35EE" w:rsidRDefault="002B35EE">
            <w:pPr>
              <w:pStyle w:val="af7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spacing w:beforeAutospacing="0" w:after="0" w:afterAutospacing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 xml:space="preserve">применять инструменты и разрабатывать мероприятия по ограничению и абсорбции рисков в денежно- кредитной и финансовой сферах, отдельных денежно-кредитных институтах, выявлять и оценивать воздействия рисков, определять эффективные </w:t>
            </w:r>
            <w:r>
              <w:lastRenderedPageBreak/>
              <w:t>методы воздействия на риск, а также использовать метод экспертных оценок для проведения качественной оценки основных банковских рисков.</w:t>
            </w:r>
          </w:p>
        </w:tc>
      </w:tr>
      <w:tr w:rsidR="002B35EE">
        <w:tc>
          <w:tcPr>
            <w:tcW w:w="992" w:type="dxa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ПКН-4</w:t>
            </w:r>
          </w:p>
        </w:tc>
        <w:tc>
          <w:tcPr>
            <w:tcW w:w="2693" w:type="dxa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551" w:type="dxa"/>
          </w:tcPr>
          <w:p w:rsidR="002B35EE" w:rsidRDefault="00EC3E85">
            <w:pPr>
              <w:pStyle w:val="af3"/>
              <w:numPr>
                <w:ilvl w:val="0"/>
                <w:numId w:val="4"/>
              </w:num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EC3E8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Рассчитывает и интерпретирует показатели деятельности экономических субъектов.</w:t>
            </w: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rPr>
                <w:b/>
                <w:bCs/>
              </w:rPr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нормативных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2B35EE" w:rsidRDefault="002B35EE">
            <w:pPr>
              <w:pStyle w:val="af7"/>
              <w:spacing w:beforeAutospacing="0" w:after="0" w:afterAutospacing="0"/>
              <w:jc w:val="both"/>
            </w:pP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t>формулировать выводы на основе проведенных расчетов.</w:t>
            </w:r>
          </w:p>
          <w:p w:rsidR="002B35EE" w:rsidRDefault="002B35EE">
            <w:pPr>
              <w:pStyle w:val="af7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spacing w:beforeAutospacing="0" w:after="0" w:afterAutospacing="0"/>
              <w:jc w:val="both"/>
            </w:pP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проблем развития коммерческих банков в условиях экономической неопределенности;</w:t>
            </w: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t>-виды стратегий кредитных организаций, применяемых в современных условиях;</w:t>
            </w: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t>-правовые факторы, обуславливающие выбор стратегии банка;</w:t>
            </w:r>
          </w:p>
          <w:p w:rsidR="002B35EE" w:rsidRDefault="00EC3E85">
            <w:pPr>
              <w:pStyle w:val="af7"/>
              <w:spacing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Умение </w:t>
            </w:r>
            <w:r>
              <w:t>применять знание современных инструментов анализа и регулирования финансово кредитной сферы для решения профессиональных задач</w:t>
            </w:r>
          </w:p>
        </w:tc>
      </w:tr>
      <w:tr w:rsidR="002B35EE">
        <w:tc>
          <w:tcPr>
            <w:tcW w:w="992" w:type="dxa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ПКН-5</w:t>
            </w:r>
          </w:p>
        </w:tc>
        <w:tc>
          <w:tcPr>
            <w:tcW w:w="2693" w:type="dxa"/>
          </w:tcPr>
          <w:p w:rsidR="002B35EE" w:rsidRDefault="00EC3E85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составлять и анализировать финансовую, бухгалтерскую, статистическую отчетность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результаты анализа для принятия управленческих решений</w:t>
            </w:r>
          </w:p>
        </w:tc>
        <w:tc>
          <w:tcPr>
            <w:tcW w:w="2551" w:type="dxa"/>
          </w:tcPr>
          <w:p w:rsidR="002B35EE" w:rsidRDefault="00EC3E85">
            <w:pPr>
              <w:pStyle w:val="af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1. Применяет положения международных и национальных стандартов для составления и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подтверждении достоверности отчетности организации. </w:t>
            </w:r>
          </w:p>
          <w:p w:rsidR="002B35EE" w:rsidRDefault="002B35EE">
            <w:pPr>
              <w:pStyle w:val="af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EC3E85">
            <w:pPr>
              <w:pStyle w:val="af3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Использует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374" w:type="dxa"/>
          </w:tcPr>
          <w:p w:rsidR="002B35EE" w:rsidRDefault="00EC3E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принципов организации бухгалтерского учета в банках, методов ведения комплексного учета и порядок 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бухгалтерской и финансовой отчетности банков.</w:t>
            </w:r>
          </w:p>
          <w:p w:rsidR="002B35EE" w:rsidRDefault="002B3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заполнять формы отчетности, содержащие финансово - бухгалтерскую информацию банка.</w:t>
            </w:r>
          </w:p>
          <w:p w:rsidR="002B35EE" w:rsidRDefault="002B3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планово-отчетной работы банка, методов разработки текущих и стратегических планов развития банка</w:t>
            </w:r>
          </w:p>
          <w:p w:rsidR="002B35EE" w:rsidRDefault="002B35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риски на основе анализа бухгалтерской и иной информации</w:t>
            </w:r>
          </w:p>
        </w:tc>
      </w:tr>
    </w:tbl>
    <w:p w:rsidR="002B35EE" w:rsidRDefault="002B35EE">
      <w:pPr>
        <w:tabs>
          <w:tab w:val="left" w:pos="4104"/>
          <w:tab w:val="center" w:pos="4535"/>
          <w:tab w:val="right" w:pos="90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35EE" w:rsidRDefault="00EC3E85">
      <w:pPr>
        <w:pStyle w:val="1"/>
        <w:spacing w:line="360" w:lineRule="auto"/>
        <w:ind w:left="357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67369867"/>
      <w:r>
        <w:rPr>
          <w:rFonts w:ascii="Times New Roman" w:hAnsi="Times New Roman" w:cs="Times New Roman"/>
          <w:sz w:val="28"/>
          <w:szCs w:val="28"/>
        </w:rPr>
        <w:t>3. Место дисциплины в структуре образовательной программы</w:t>
      </w:r>
      <w:bookmarkEnd w:id="5"/>
    </w:p>
    <w:p w:rsidR="002B35EE" w:rsidRDefault="00EC3E8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</w:t>
      </w:r>
      <w:bookmarkStart w:id="6" w:name="_Hlk118845502"/>
      <w:r>
        <w:rPr>
          <w:rFonts w:ascii="Times New Roman" w:hAnsi="Times New Roman" w:cs="Times New Roman"/>
          <w:sz w:val="28"/>
          <w:szCs w:val="28"/>
        </w:rPr>
        <w:t>«Банковские риски и стратегия развития коммерческого банка»</w:t>
      </w:r>
      <w:bookmarkEnd w:id="6"/>
      <w:r>
        <w:rPr>
          <w:rFonts w:ascii="Times New Roman" w:hAnsi="Times New Roman" w:cs="Times New Roman"/>
          <w:sz w:val="28"/>
          <w:szCs w:val="28"/>
        </w:rPr>
        <w:t xml:space="preserve"> является дисциплиной по выбору для студентов, обучающихся по направление подготовки: 38.03.01 - Экономика, ОП «Экономика и финансы», Профиль: «Банки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гармонично дополняет научные и прикладные знания студентов в области развития банковской системы, кредитных организаций, банковской деятельности, банковского риск-менеджмента. </w:t>
      </w:r>
    </w:p>
    <w:p w:rsidR="002B35EE" w:rsidRDefault="002B35EE">
      <w:pPr>
        <w:shd w:val="clear" w:color="auto" w:fill="FFFFFF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B35EE" w:rsidRDefault="00EC3E85">
      <w:pPr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167369868"/>
      <w:r>
        <w:rPr>
          <w:rFonts w:ascii="Times New Roman" w:hAnsi="Times New Roman" w:cs="Times New Roman"/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B35EE" w:rsidRDefault="00EC3E85">
      <w:pPr>
        <w:tabs>
          <w:tab w:val="left" w:pos="4104"/>
          <w:tab w:val="center" w:pos="4535"/>
          <w:tab w:val="right" w:pos="907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Таблица 2</w:t>
      </w:r>
    </w:p>
    <w:tbl>
      <w:tblPr>
        <w:tblStyle w:val="afb"/>
        <w:tblW w:w="9322" w:type="dxa"/>
        <w:tblLayout w:type="fixed"/>
        <w:tblLook w:val="04A0" w:firstRow="1" w:lastRow="0" w:firstColumn="1" w:lastColumn="0" w:noHBand="0" w:noVBand="1"/>
      </w:tblPr>
      <w:tblGrid>
        <w:gridCol w:w="4417"/>
        <w:gridCol w:w="2405"/>
        <w:gridCol w:w="2500"/>
      </w:tblGrid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Модуль 5</w:t>
            </w:r>
          </w:p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3з.е./108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pStyle w:val="af3"/>
              <w:keepNext/>
              <w:spacing w:before="60" w:after="6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Лекции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Семинары, практические занятия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24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24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76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76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2B35EE">
        <w:tc>
          <w:tcPr>
            <w:tcW w:w="4417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5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2500" w:type="dxa"/>
            <w:shd w:val="clear" w:color="auto" w:fill="auto"/>
          </w:tcPr>
          <w:p w:rsidR="002B35EE" w:rsidRDefault="00EC3E85">
            <w:pPr>
              <w:tabs>
                <w:tab w:val="left" w:pos="4104"/>
                <w:tab w:val="center" w:pos="4535"/>
                <w:tab w:val="right" w:pos="907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Зачет</w:t>
            </w:r>
          </w:p>
        </w:tc>
      </w:tr>
    </w:tbl>
    <w:p w:rsidR="002B35EE" w:rsidRDefault="002B35EE"/>
    <w:p w:rsidR="002B35EE" w:rsidRDefault="00EC3E85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67369869"/>
      <w:r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структурирование по темам (разделам) дисциплины с указанием их объемов (в академических часах) и видов учебных занятий</w:t>
      </w:r>
      <w:bookmarkEnd w:id="8"/>
    </w:p>
    <w:p w:rsidR="002B35EE" w:rsidRDefault="00EC3E85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167369870"/>
      <w:r>
        <w:rPr>
          <w:rFonts w:ascii="Times New Roman" w:hAnsi="Times New Roman" w:cs="Times New Roman"/>
          <w:sz w:val="28"/>
          <w:szCs w:val="28"/>
        </w:rPr>
        <w:t>5.1. Содержание дисциплины</w:t>
      </w:r>
      <w:bookmarkEnd w:id="9"/>
    </w:p>
    <w:p w:rsidR="002B35EE" w:rsidRDefault="00EC3E85">
      <w:pPr>
        <w:tabs>
          <w:tab w:val="left" w:pos="116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16"/>
          <w:szCs w:val="16"/>
        </w:rPr>
        <w:tab/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>
        <w:rPr>
          <w:rFonts w:ascii="Times New Roman" w:eastAsia="Times New Roman" w:hAnsi="Times New Roman" w:cs="Times New Roman"/>
          <w:b/>
          <w:sz w:val="28"/>
        </w:rPr>
        <w:t>Понятие и классификация банковских рисков в коммерческом банке</w:t>
      </w:r>
      <w:bookmarkStart w:id="10" w:name="_Hlk533026393"/>
      <w:bookmarkEnd w:id="10"/>
    </w:p>
    <w:p w:rsidR="002B35EE" w:rsidRDefault="00EC3E85">
      <w:pPr>
        <w:pStyle w:val="31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банковских рисков и их классификация.  Финансовые и нефинансовые риски банка. Иерархия банковских рисков. </w:t>
      </w:r>
    </w:p>
    <w:p w:rsidR="002B35EE" w:rsidRDefault="00EC3E85">
      <w:pPr>
        <w:pStyle w:val="31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риски: кредитный, риск потери ликвидности, рыночные риски (процентный, валютный, фондовый). </w:t>
      </w:r>
    </w:p>
    <w:p w:rsidR="002B35EE" w:rsidRDefault="00EC3E85">
      <w:pPr>
        <w:pStyle w:val="310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и характеристика нефинансовых рисков: операционный, правовой, риск потери деловой репутации, стратегический риск.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Понятие рискового события, объектов и источников риска. Основные факторы по типам риска. 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>
        <w:rPr>
          <w:rFonts w:ascii="Times New Roman" w:eastAsia="Times New Roman" w:hAnsi="Times New Roman" w:cs="Times New Roman"/>
          <w:b/>
          <w:sz w:val="28"/>
        </w:rPr>
        <w:t>Система управления рисками в коммерческом банке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Этапы управления рисками. Оценка уязвимостей системы управления рисками.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Принципы формирования системы выявления рисков.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Качественные и количественные методы оценки рисков. Применение экспертных суждений для качественной оценки рисков. Количественные индикаторы риска: чувствительность, волатильность.  Особенности оценки позиции под риском.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Современная система 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рисками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российском банке в соответствии с российскими и международными стандартами и ее роль в системе стратегического управления. </w:t>
      </w:r>
    </w:p>
    <w:p w:rsidR="002B35EE" w:rsidRDefault="00EC3E85">
      <w:pPr>
        <w:pStyle w:val="ad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Место стратегии в системе стратегического управления коммерческим банком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Стратегическое управление как процесс принятия и реализации стратегических решений. Концептуальная эволюция стратегического управления. Понятие стратегии и ее место в системе стратегического управления банком. Типология стратегий и их влияние на конкурентоспособность коммерческого банка. Стратегия и стратегические планы. Стратегическая роль Совета директоров. Стратегия как непрерывный процесс. Стратегический риск. Риски стратегии специализации и универсализации.</w:t>
      </w:r>
    </w:p>
    <w:p w:rsidR="002B35EE" w:rsidRDefault="00EC3E85">
      <w:pPr>
        <w:pStyle w:val="ad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Обоснование миссии и установление целей коммерческого банка</w:t>
      </w:r>
    </w:p>
    <w:p w:rsidR="002B35EE" w:rsidRDefault="00EC3E85">
      <w:pPr>
        <w:pStyle w:val="af7"/>
        <w:spacing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миссии как предназначения коммерческого банка. Стратегическое намерение, определение рынка, ценности банка, конкурентное позиционирование и ключевые навыки как основа формирования миссии. Отражение в миссии социальной ответственности перед клиентами, постоянного обновления банковских продуктов на основе применения новейших достижений и инноваций в сфере финансовых технологий, надежности, взаимного доверия и индивидуального подхода к клиентам. Современные тенденции формирования миссии коммерческого банка.  Влияние тенденций развития банковского сектора на формирование миссии банка. Миссия и основные виды рисков коммерческого банка. Организация риск-менеджмента в коммерческом банке с учетом миссии. Миссия и бизнес-планирование.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5. Особенности основных банковских рисков и их роль при формировании стратегии коммерческого банка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Сущность кредитного риска. Источники кредитного риска. Принципы управления кредитным риском.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Методы управления кредитным риском.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кредитного риска индивидуальных ссуд. Построение кредитных рейтингов. Требования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Базельского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комитета к построению внутренней системы кредитных рейтингов.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Требования, предъявляемые к рейтинговым системам оценки кредитного риска.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Сущность и источники риска потери ликвидности. Принципы управления риском потери ликвидности. 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методы оценки риска потери ликвидности: метод коэффициентов, о</w:t>
      </w:r>
      <w:r>
        <w:rPr>
          <w:rFonts w:ascii="Times New Roman" w:eastAsia="Times New Roman" w:hAnsi="Times New Roman" w:cs="Times New Roman"/>
          <w:sz w:val="28"/>
        </w:rPr>
        <w:t>ценка платежной позиции   Банка (анализ денежных потоков), анализ разрывов в сроках погашения требований и обязательств банка (ГЭП-анализ), сценарный анализ.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Сущность и виды рыночных рисков. Процентный риск. Источники процентного риска.  Валютный и фондовый риски. Хеджирование рыночных рисков. Способы ограничения и контроля принимаемых банком рыночных рисков.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Сущность операционного риска. Классификация операционного риска по источникам и объектам риска.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Характеристика способов оценки и минимизации прочих нефинансовых рисков: правового, риска потери деловой репутации, стратегического риска.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6. Организация работы в банке по подготовке и реализации стратегии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стратегической цели банка. Постановка стратегических задач как способ конкретизации цели: выбор наиболее эффективных направлений деятельности, используя собственные достижения и предоставляемые внешней средой благоприятные возможности. Дерево целей коммерческого банка.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стратегических альтернатив: экономия на издержках или лидерство в ценообразовании; роль поставщика продуктов и услуг высокого </w:t>
      </w:r>
      <w:r>
        <w:rPr>
          <w:rFonts w:ascii="Times New Roman" w:hAnsi="Times New Roman" w:cs="Times New Roman"/>
          <w:sz w:val="28"/>
          <w:szCs w:val="28"/>
        </w:rPr>
        <w:lastRenderedPageBreak/>
        <w:t>качества или диверсификация деятельности; стратегия концентрации (определение рыночной "ниши"). Анализ последствий стратегического выбора.</w:t>
      </w:r>
    </w:p>
    <w:p w:rsidR="002B35EE" w:rsidRDefault="00EC3E85">
      <w:pPr>
        <w:pStyle w:val="1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и задачи специалистов по стратегическому планированию. Вертикальные и горизонтальные взаимосвязи организационных структур банка при подготовке стратегии развития.  Возможность использования услуг консалтинговых компаний при разработке новых направлений деятельности банка. 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отдельных подразделений коммерческого банка в реализации общей корпоративной стратегии. Возможность и необходимость корректировки стратегии. </w:t>
      </w:r>
    </w:p>
    <w:p w:rsidR="002B35EE" w:rsidRDefault="00EC3E85">
      <w:pPr>
        <w:pStyle w:val="1"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11" w:name="_Toc167369871"/>
      <w:r>
        <w:rPr>
          <w:rFonts w:ascii="Times New Roman" w:hAnsi="Times New Roman" w:cs="Times New Roman"/>
          <w:sz w:val="28"/>
          <w:szCs w:val="28"/>
        </w:rPr>
        <w:t>5.2. Учебно-тематический план</w:t>
      </w:r>
      <w:bookmarkEnd w:id="11"/>
    </w:p>
    <w:p w:rsidR="002B35EE" w:rsidRDefault="00EC3E85">
      <w:pPr>
        <w:pStyle w:val="Default"/>
        <w:ind w:firstLine="708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3</w:t>
      </w:r>
    </w:p>
    <w:tbl>
      <w:tblPr>
        <w:tblW w:w="5000" w:type="pct"/>
        <w:tblInd w:w="-289" w:type="dxa"/>
        <w:tblLayout w:type="fixed"/>
        <w:tblLook w:val="01E0" w:firstRow="1" w:lastRow="1" w:firstColumn="1" w:lastColumn="1" w:noHBand="0" w:noVBand="0"/>
      </w:tblPr>
      <w:tblGrid>
        <w:gridCol w:w="545"/>
        <w:gridCol w:w="1749"/>
        <w:gridCol w:w="675"/>
        <w:gridCol w:w="1080"/>
        <w:gridCol w:w="944"/>
        <w:gridCol w:w="1362"/>
        <w:gridCol w:w="1340"/>
        <w:gridCol w:w="1649"/>
      </w:tblGrid>
      <w:tr w:rsidR="002B35EE">
        <w:trPr>
          <w:trHeight w:val="462"/>
        </w:trPr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2B35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2B35EE">
        <w:trPr>
          <w:trHeight w:val="511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884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tabs>
                <w:tab w:val="right" w:pos="851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</w:t>
            </w:r>
            <w:r w:rsidR="00C70C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   работа</w:t>
            </w: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2B35E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5EE">
        <w:trPr>
          <w:trHeight w:val="507"/>
        </w:trPr>
        <w:tc>
          <w:tcPr>
            <w:tcW w:w="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tabs>
                <w:tab w:val="left" w:pos="960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Общая, в т. ч.: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Семинары,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практичес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кие занятия</w:t>
            </w:r>
          </w:p>
        </w:tc>
        <w:tc>
          <w:tcPr>
            <w:tcW w:w="13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2B35E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35EE">
        <w:trPr>
          <w:trHeight w:val="664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2B35E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Научно-практическая дискуссия</w:t>
            </w:r>
          </w:p>
        </w:tc>
      </w:tr>
      <w:tr w:rsidR="002B35EE">
        <w:trPr>
          <w:trHeight w:val="70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Система управления рисками в коммерческом банке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ситуационных заданий, тесты для самоподготовки, аналитическая записка</w:t>
            </w:r>
          </w:p>
        </w:tc>
      </w:tr>
      <w:tr w:rsidR="002B35EE">
        <w:trPr>
          <w:trHeight w:val="702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Место стратегии в системе стратегического управления коммерческим банком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дискуссия на основании визуализации исследований</w:t>
            </w:r>
          </w:p>
        </w:tc>
      </w:tr>
      <w:tr w:rsidR="002B35EE">
        <w:trPr>
          <w:trHeight w:val="69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4.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Обоснование миссии и установление целей коммерческого банка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right" w:pos="851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опрос, дискуссия на основании визуализации исследований,</w:t>
            </w:r>
          </w:p>
          <w:p w:rsidR="002B35EE" w:rsidRDefault="00EC3E85">
            <w:pPr>
              <w:widowControl w:val="0"/>
              <w:tabs>
                <w:tab w:val="right" w:pos="85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2B35EE">
        <w:trPr>
          <w:trHeight w:val="430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Особенности основных банковских рисков и их роль при формировании стратегии коммерческого банка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кейсов, тесты для самоподготовки</w:t>
            </w:r>
          </w:p>
        </w:tc>
      </w:tr>
      <w:tr w:rsidR="002B35EE">
        <w:trPr>
          <w:trHeight w:val="97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Организация работы в банке по подготовке и реализации стратегии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Разбор ситуационных заданий, устный опрос </w:t>
            </w:r>
          </w:p>
        </w:tc>
      </w:tr>
      <w:tr w:rsidR="002B35EE">
        <w:trPr>
          <w:trHeight w:val="975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2B35E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2B35EE">
        <w:trPr>
          <w:trHeight w:val="799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2B35EE">
            <w:pPr>
              <w:widowControl w:val="0"/>
              <w:tabs>
                <w:tab w:val="left" w:pos="709"/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35EE" w:rsidRDefault="00EC3E85">
      <w:pPr>
        <w:pStyle w:val="af3"/>
        <w:keepNext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B35EE" w:rsidRDefault="00EC3E85">
      <w:pPr>
        <w:pStyle w:val="1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67369872"/>
      <w:r>
        <w:rPr>
          <w:rFonts w:ascii="Times New Roman" w:hAnsi="Times New Roman" w:cs="Times New Roman"/>
          <w:sz w:val="28"/>
          <w:szCs w:val="28"/>
        </w:rPr>
        <w:t xml:space="preserve">5.3. </w:t>
      </w:r>
      <w:bookmarkStart w:id="13" w:name="_Hlk103933777"/>
      <w:r>
        <w:rPr>
          <w:rFonts w:ascii="Times New Roman" w:hAnsi="Times New Roman" w:cs="Times New Roman"/>
          <w:sz w:val="28"/>
          <w:szCs w:val="28"/>
        </w:rPr>
        <w:t>Содержание семинаров, практических занятий</w:t>
      </w:r>
      <w:bookmarkEnd w:id="12"/>
      <w:bookmarkEnd w:id="13"/>
    </w:p>
    <w:p w:rsidR="002B35EE" w:rsidRDefault="00EC3E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Таблица 4</w:t>
      </w:r>
    </w:p>
    <w:tbl>
      <w:tblPr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170"/>
        <w:gridCol w:w="5739"/>
        <w:gridCol w:w="1844"/>
      </w:tblGrid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2B35EE" w:rsidRDefault="002B35EE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банковских рисков.  Объекты и источники риска. Классификация основных видов риска.  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банковского баланса с позиции риск-менеджмента.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риски: кредитный, риск потери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ликвидности, рыночные риски (процентный, валютный, фондовый).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и характеристика нефинансовых рисков: операционный, правовой, риск потери деловой репутации, стратегический риск.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Источники: раздел 8: 1,2,3,4,5,6,11,17,18; 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ответы на вопросы, дискуссия </w:t>
            </w:r>
          </w:p>
        </w:tc>
      </w:tr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Система управления рисками в коммерческом банке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системы управления рисками как совокупности взаимосвязанных элементов: цели и принципы построения системы, регламентация, полномочия, этапы управления, основные методы, организационная структура риск-менеджмента.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теории и практики риск-менеджмента.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управления рисками. Идентификация риска: определение возможных источников риска, анализ покрытия риска контрольными процедурами.  Оценка риска: качественная и количественная оценка по видам риска. Мониторинг (контроль) риска. 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3,4,5,6,9; 11,13,15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9:1,2,3,4,5,6,7,11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Место стратегии в системе стратегического управления коммерческим банком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и содержание стратегического управления;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Стратегическое планирование в системе управления банком;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стратегического планирования;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стратегий в банке, их цели и особенности;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 разделы типовой структуры стратегии банка и их назначение;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1; 3,5,7,8,11,16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Обоснование миссии и установление целей коммерческого банка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миссии как предназначения коммерческого банка. Стратегическое намерение, определение рынка, ценности банка, конкурентное позиционирование и ключевые навыки как основа формирования миссии. Отражение в миссии социальной ответственности перед клиентами, постоянного обновления банковских продуктов на основе применения новейших достижений и инноваций в сфере финансовых технологий, надежности, взаимного доверия и индивидуального подхода к клиентам. Современные тенденции формирования миссии коммерческого банка.  Влияние тенденций развития банковского сектора на формирование миссии банка. Миссия и основные виды рисков коммерческого банка. Организация риск-менеджмента в коммерческом банке с учетом миссии. Миссия и бизнес-планирование. 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1; 3,5,7,8,11,16,18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5. Особенности основных банковских рисков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их роль при формировании стратегии коммерческого банка</w:t>
            </w:r>
          </w:p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Сущность кредитного риска. Источники кредитного риска. Принципы управления кредитным риском.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 потери ликвидности.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источники риска потери ликвидности.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Принципы управления риском потери ликвидности. 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оценки риска потери ликвидности: метод коэффициентов, оценка платежной позиции   Банка (анализ денежных потоков), анализ разрывов в сроках погашения требований и обязательств банка (ГЭП-анализ), сценарный анализ.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виды рыночных рисков.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Процентный риск. Источники процентного риска. 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Валютный и фондовый риски. Источники рисков.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Операционный риск и прочие нефинансовые риски банковской деятельности.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операционного риска. Классификация операционного риска по источникам и объектам риска.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способов оценки и минимизации прочих нефинансовых рисков: правового, риска потери деловой репутации, стратегического риска.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Источники: раздел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8:  3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,4,5,6,7,11, 13,14,15; 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Устные ответы на вопросы, дискуссия, контрольная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работа, решение задач</w:t>
            </w:r>
          </w:p>
        </w:tc>
      </w:tr>
      <w:tr w:rsidR="002B35EE"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 Организация работы в банке по подготовке и реализации стратегии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стратегии, бизнес-плана и финансового плана коммерческого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сбалансированных показателей и KPI. 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мотивации персонала коммерческого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Инжиниринг и реинжиниринг бизнес-процессов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индивидуальных и командных целей.  Роль отдельных подразделений коммерческого банка в реализации общей корпоративной стратегии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Источники: раздел 8: 1,2,4,6,7,8,17,18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9: 1,2,3,4,5,6,7,11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вопросы, дискуссия, доклады, решение задач</w:t>
            </w:r>
          </w:p>
        </w:tc>
      </w:tr>
    </w:tbl>
    <w:p w:rsidR="002B35EE" w:rsidRDefault="002B35EE">
      <w:pPr>
        <w:pStyle w:val="Default"/>
        <w:spacing w:line="360" w:lineRule="auto"/>
        <w:jc w:val="right"/>
        <w:rPr>
          <w:color w:val="auto"/>
          <w:sz w:val="28"/>
          <w:szCs w:val="28"/>
        </w:rPr>
      </w:pPr>
    </w:p>
    <w:p w:rsidR="002B35EE" w:rsidRDefault="00EC3E85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167369873"/>
      <w:r>
        <w:rPr>
          <w:rFonts w:ascii="Times New Roman" w:hAnsi="Times New Roman" w:cs="Times New Roman"/>
          <w:sz w:val="28"/>
          <w:szCs w:val="28"/>
        </w:rPr>
        <w:t>6. Перечень учебно-методического обеспечения для самостоятельной̆ работы обучающихся по дисциплине</w:t>
      </w:r>
      <w:bookmarkEnd w:id="14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5EE" w:rsidRDefault="00EC3E85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67369874"/>
      <w:r>
        <w:rPr>
          <w:rFonts w:ascii="Times New Roman" w:hAnsi="Times New Roman" w:cs="Times New Roman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:rsidR="002B35EE" w:rsidRDefault="002B35E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B35EE" w:rsidRDefault="00EC3E8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73"/>
        <w:gridCol w:w="4458"/>
        <w:gridCol w:w="3013"/>
      </w:tblGrid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</w:t>
            </w:r>
          </w:p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самостоятельное освоение 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 Понятие и классификация банковских рисков в коммерческом банке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банковских рисков.  Объекты и источники риска. Классификация основных видов риска.   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Фундаментальная концепция риск-менеджмента: понятие и характеристика ожидаемых и непредвиденных потерь. Источники покрытия рисков.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Справедливая стоимость финансовых инструментов как отражение принятых банком рисков. Риск и стоимость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Финансовые риски: кредитный, риск потери ликвидности, рыночные риски (процентный, валютный, фондовый). 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и характеристика нефинансовых рисков: операционный, правовой, риск потери деловой репутации, стратегический риск.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 Изучение нормативных правовых актов, основной и дополнительной литературы.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 Подготовка глоссария.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аналитического обзора.</w:t>
            </w:r>
          </w:p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Подготовка к обсуждению вопросов темы в форме дискуссии</w:t>
            </w:r>
          </w:p>
        </w:tc>
      </w:tr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Система управления рисками в коммерческом банке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формирования системы выявления рисков. Построение «карты рисков».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и количественные методы оценки рисков.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экспертных суждений для качественной оценки рисков. Количественные индикаторы риска: чувствительность, волатильность.  Особенности оценки позиции под риском.</w:t>
            </w:r>
          </w:p>
          <w:p w:rsidR="002B35EE" w:rsidRDefault="002B35EE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нормативных правовых актов, основной и дополнительной литературы.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к устному опросу.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 Подготовка аналитического обзора.</w:t>
            </w:r>
          </w:p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Подготовка к обсуждению вопросов темы в форме дискуссии</w:t>
            </w:r>
          </w:p>
        </w:tc>
      </w:tr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стратегии в системе стратегического управления коммерческим банком 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 стратегического планирования.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стратегических целей. SMART-принцип формулирования целей.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«корневой системы».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цели «ствола дерева» при построении миссии банка и стратегии рыночного поведения.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«кроны дерева».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«листьев дерева». 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«плодов дерева».                 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стратегической альтернативы.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стратегических альтернатив развития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Фазы процесса установления «дерева целей»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выбор вариантов стратегии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стратегий банка.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нормативных правовых актов, основной и дополнительной литературы.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Подготовка к устному опросу.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3.Подготовка обзора научных публикаций по вопросам темы.</w:t>
            </w:r>
          </w:p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 Подготовка аналитического заключения «Оценка эффективности стратегии коммерческого банка».</w:t>
            </w:r>
          </w:p>
        </w:tc>
      </w:tr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Обоснование миссии и установление целей коммерческого банка</w:t>
            </w:r>
          </w:p>
          <w:p w:rsidR="002B35EE" w:rsidRDefault="002B35E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миссия банка? Почему в миссии отражена социальная ответственность кредитной организации перед клиентами?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постоянного обновления (продуктов, процессов, технологий) как ключевое условие успешного развития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характеристика миссий коммерческих банков в России и за рубежом.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Взаимосвязь миссии и коммуникационной политики коммерческого банка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Подготовка к семинарскому занятию, изучение дополнительной литературы. </w:t>
            </w:r>
          </w:p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к контрольной работе. </w:t>
            </w:r>
          </w:p>
          <w:p w:rsidR="002B35EE" w:rsidRDefault="00EC3E85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Подготовка к круглому столу по итогам изучения дисциплины</w:t>
            </w:r>
          </w:p>
        </w:tc>
      </w:tr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5. Особенности основных банковских рисков и их роль при формировании стратегии коммерческого банка</w:t>
            </w:r>
          </w:p>
          <w:p w:rsidR="002B35EE" w:rsidRDefault="002B35E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кредитного риска индивидуальных ссуд. Построение кредитных рейтингов. Требования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Базельского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комитета к построению внутренней системы кредитных рейтингов. 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Требования, предъявляемые к рейтинговым системам оценки кредитного риска.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дополнительных рыночных факторов в оценке кредитного риска.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кредитного риска на портфельной основе.  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резервов на возможные потери по ссудам. Система лимитов и их характеристика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 Изучение нормативных правовых актов, основной и дополнительной литературы.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2.Подготовка к устному опросу.</w:t>
            </w:r>
          </w:p>
          <w:p w:rsidR="002B35EE" w:rsidRDefault="002B35EE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35EE"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6. Организация работы в банке по подготовке и реализации стратегии</w:t>
            </w:r>
          </w:p>
        </w:tc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продуктов и услуг выбранного конкретного банка и оценка их конкурентных преимуществ?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сильных и слабых сторон выбранного конкретного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сильных и слабых сторон выбранного конкретного банка с рыночными возможностями и угрозами.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Внедрение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клиентоориентированной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стратегии и структуры.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технологии самообслуживания.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и перспективы регионального развития коммерческого банка.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оптимизации расходов в коммерческом банке.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банке стандартов качества банковской деятельности.</w:t>
            </w:r>
          </w:p>
        </w:tc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5EE" w:rsidRDefault="00EC3E85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правовых актов, основной и дополнительной литературы.</w:t>
            </w:r>
          </w:p>
          <w:p w:rsidR="002B35EE" w:rsidRDefault="00EC3E85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Изучение информации на официальных сайтах коммерческих банков,</w:t>
            </w:r>
          </w:p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основной и дополнительной литературы</w:t>
            </w:r>
          </w:p>
          <w:p w:rsidR="002B35EE" w:rsidRDefault="00EC3E85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Подготовка докладов и презентаций</w:t>
            </w:r>
          </w:p>
          <w:p w:rsidR="002B35EE" w:rsidRDefault="00EC3E85">
            <w:pPr>
              <w:pStyle w:val="af3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устному опросу.</w:t>
            </w:r>
          </w:p>
          <w:p w:rsidR="002B35EE" w:rsidRDefault="002B35EE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35EE" w:rsidRDefault="002B35EE">
      <w:pPr>
        <w:pStyle w:val="Default"/>
        <w:spacing w:line="360" w:lineRule="auto"/>
        <w:ind w:firstLine="709"/>
        <w:jc w:val="both"/>
        <w:rPr>
          <w:b/>
          <w:color w:val="auto"/>
          <w:sz w:val="28"/>
          <w:szCs w:val="28"/>
        </w:rPr>
      </w:pPr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67369875"/>
      <w:r>
        <w:rPr>
          <w:rFonts w:ascii="Times New Roman" w:hAnsi="Times New Roman" w:cs="Times New Roman"/>
          <w:sz w:val="28"/>
          <w:szCs w:val="28"/>
        </w:rPr>
        <w:t>6.2. Перечень вопросов, заданий, тем для подготовки к текущему контролю</w:t>
      </w:r>
      <w:bookmarkEnd w:id="16"/>
    </w:p>
    <w:p w:rsidR="002B35EE" w:rsidRDefault="00EC3E85">
      <w:pPr>
        <w:pStyle w:val="af7"/>
        <w:spacing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Примерный перечень тематики контрольных работ: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Стратегический̆ выбор и макроэкономические эффекты деятельности банков с государственным участием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поведения банков с государственным участием в капитале </w:t>
      </w:r>
      <w:proofErr w:type="gramStart"/>
      <w:r>
        <w:rPr>
          <w:sz w:val="28"/>
          <w:szCs w:val="28"/>
        </w:rPr>
        <w:t>в современным условиях</w:t>
      </w:r>
      <w:proofErr w:type="gramEnd"/>
      <w:r>
        <w:rPr>
          <w:sz w:val="28"/>
          <w:szCs w:val="28"/>
        </w:rPr>
        <w:t xml:space="preserve">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ГК «Банк развития внешнеэкономической̆ деятельности – Внешэкономбанк», сфера деятельности и стратегия поведения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Банки с иностранным капиталом на российском рынке, особенности их стратегий поведения в разных экономических условиях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Кластер региональных банков, банков с </w:t>
      </w:r>
      <w:proofErr w:type="spellStart"/>
      <w:r>
        <w:rPr>
          <w:sz w:val="28"/>
          <w:szCs w:val="28"/>
        </w:rPr>
        <w:t>базовои</w:t>
      </w:r>
      <w:proofErr w:type="spellEnd"/>
      <w:r>
        <w:rPr>
          <w:sz w:val="28"/>
          <w:szCs w:val="28"/>
        </w:rPr>
        <w:t xml:space="preserve">̆ </w:t>
      </w:r>
      <w:proofErr w:type="spellStart"/>
      <w:r>
        <w:rPr>
          <w:sz w:val="28"/>
          <w:szCs w:val="28"/>
        </w:rPr>
        <w:t>лицензиеи</w:t>
      </w:r>
      <w:proofErr w:type="spellEnd"/>
      <w:r>
        <w:rPr>
          <w:sz w:val="28"/>
          <w:szCs w:val="28"/>
        </w:rPr>
        <w:t xml:space="preserve">̆: характеристика, направления деятельности, стратегический выбор с учетом новых регулятивных норма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деятельности региональных банков в условиях макроэкономической нестабильности, аргументы «за» и «против»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инвестиционного банка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стратегий развития банков разных кластеров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Малые и средние банки, особенности их стратегий поведений и перспективы развития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финансовой нестабильности банка и индикаторы их раннего выявления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и оценка конкурентных стратегий банков разных кластеров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успеха банков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и бизнес-модель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Типологизация</w:t>
      </w:r>
      <w:proofErr w:type="spellEnd"/>
      <w:r>
        <w:rPr>
          <w:sz w:val="28"/>
          <w:szCs w:val="28"/>
        </w:rPr>
        <w:t xml:space="preserve"> бизнес-моделей коммерческих банков, критерии и индикаторы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бизнес-моделей банков с иностранным участием в капитале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Банки с универсальной и базовой лицензией, общее и особенное их бизнес-моделей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 модель деятельности коммерческого банка их соотношение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банка в условиях финансовой нестабильности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Антикризисная стратегия развития банка, основные положения и способы реализации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Признаки проблемного банка, направления преодоления кризисных явлений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в условиях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экономики (на конкретных примерах)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Инвестиционные банки, их бизнес-модель в контексте </w:t>
      </w:r>
      <w:proofErr w:type="spellStart"/>
      <w:r>
        <w:rPr>
          <w:sz w:val="28"/>
          <w:szCs w:val="28"/>
        </w:rPr>
        <w:t>финансовои</w:t>
      </w:r>
      <w:proofErr w:type="spellEnd"/>
      <w:r>
        <w:rPr>
          <w:sz w:val="28"/>
          <w:szCs w:val="28"/>
        </w:rPr>
        <w:t>̆ устойчивости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Банка проблемных долгов, ее жизнеспособность и признаки эффективности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организации риск-менеджмента в страховых компаниях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Подходы к разработке страховых продуктов, обеспечивающих достижение стратегических целей страховых компаний.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</w:t>
      </w:r>
      <w:proofErr w:type="spellStart"/>
      <w:r>
        <w:rPr>
          <w:sz w:val="28"/>
          <w:szCs w:val="28"/>
        </w:rPr>
        <w:t>Базельского</w:t>
      </w:r>
      <w:proofErr w:type="spellEnd"/>
      <w:r>
        <w:rPr>
          <w:sz w:val="28"/>
          <w:szCs w:val="28"/>
        </w:rPr>
        <w:t xml:space="preserve"> комитета по банковскому надзору (Базель III) в области регулирования банковских рисков на микроуровне и их внедрение в России.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риском несбалансированной ликвидности на уровне казначейства.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Требования, предъявляемые к рейтинговым системам оценки кредитного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риска.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управления рыночными рисками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ограничения и контроля принимаемых банком рыночных рисков.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Карта операционных рисков: характеристика и способы построения. 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методы агрегации распределений рисков для оценок экономического капитала банка.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внутреннего контроля в системе риск-менеджмента. Интегрированная система риск-менеджмента.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стратегии конкретного коммерческого банка (по выбору студента из действующих кредитных организаций).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Современные тенденции формирования стратегий коммерческих банков в России.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формирования стратегий коммерческих банков за рубежом.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перевода стратегии на уровень операционной деятельности.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Стратегия и система сбалансированных показателей.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Создание стратегических карт в коммерческом банке.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банковских стратегий и их историческое развитие.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Наступательные стратегии коммерческого банка, их особенности и преимущества.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оборонительных стратегий для защиты конкурентного преимущества.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реализации стратегии в коммерческом банке.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конкуренции на рынке банковских услуг.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Проблемы развития и мотивации персонала и современные подходы к их решению.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стратегических приоритетов развития организационной структуры банка.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SWOT-анализ как метод стратегического планирования.        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Постановка стратегических задач деятельности банка как способ конкретизации цели.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последствий стратегического выбора.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Подготовка бизнес-плана в соответствии с утвержденной стратегией.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Контроль исполнения стратегии. </w:t>
      </w:r>
    </w:p>
    <w:p w:rsidR="002B35EE" w:rsidRDefault="00EC3E85">
      <w:pPr>
        <w:pStyle w:val="af7"/>
        <w:numPr>
          <w:ilvl w:val="0"/>
          <w:numId w:val="3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причин отклонения от выполнения стратегии банка. </w:t>
      </w:r>
    </w:p>
    <w:p w:rsidR="002B35EE" w:rsidRDefault="00EC3E85">
      <w:pPr>
        <w:tabs>
          <w:tab w:val="left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2B35EE" w:rsidRDefault="00EC3E85">
      <w:pPr>
        <w:tabs>
          <w:tab w:val="left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107308365"/>
      <w:r>
        <w:rPr>
          <w:rFonts w:ascii="Times New Roman" w:hAnsi="Times New Roman" w:cs="Times New Roman"/>
          <w:sz w:val="28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  <w:bookmarkEnd w:id="17"/>
    </w:p>
    <w:p w:rsidR="00C70CFE" w:rsidRDefault="00C70CFE">
      <w:pPr>
        <w:tabs>
          <w:tab w:val="left" w:pos="-1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167369876"/>
      <w:r>
        <w:rPr>
          <w:rFonts w:ascii="Times New Roman" w:hAnsi="Times New Roman" w:cs="Times New Roman"/>
          <w:sz w:val="28"/>
          <w:szCs w:val="28"/>
        </w:rPr>
        <w:t>7. Фонд оценочных средств для проведения промежуточной аттестации</w:t>
      </w:r>
      <w:bookmarkEnd w:id="18"/>
    </w:p>
    <w:p w:rsidR="002B35EE" w:rsidRDefault="00EC3E85">
      <w:pPr>
        <w:tabs>
          <w:tab w:val="left" w:pos="453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Типовые контрольные задания для оценки индикаторов достижения компетенций, умений и знаний</w:t>
      </w:r>
      <w:bookmarkStart w:id="19" w:name="_Hlk25255353"/>
      <w:bookmarkEnd w:id="19"/>
    </w:p>
    <w:p w:rsidR="002B35EE" w:rsidRDefault="00EC3E85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                                                                                                              Таблица 6</w:t>
      </w:r>
    </w:p>
    <w:tbl>
      <w:tblPr>
        <w:tblStyle w:val="afb"/>
        <w:tblW w:w="9776" w:type="dxa"/>
        <w:tblLayout w:type="fixed"/>
        <w:tblLook w:val="04A0" w:firstRow="1" w:lastRow="0" w:firstColumn="1" w:lastColumn="0" w:noHBand="0" w:noVBand="1"/>
      </w:tblPr>
      <w:tblGrid>
        <w:gridCol w:w="1838"/>
        <w:gridCol w:w="2239"/>
        <w:gridCol w:w="2156"/>
        <w:gridCol w:w="3543"/>
      </w:tblGrid>
      <w:tr w:rsidR="002B35EE">
        <w:tc>
          <w:tcPr>
            <w:tcW w:w="1837" w:type="dxa"/>
          </w:tcPr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239" w:type="dxa"/>
          </w:tcPr>
          <w:p w:rsidR="002B35EE" w:rsidRDefault="00EC3E85">
            <w:pPr>
              <w:pStyle w:val="af3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индикаторов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2156" w:type="dxa"/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</w:tcPr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2B35EE">
        <w:tc>
          <w:tcPr>
            <w:tcW w:w="1837" w:type="dxa"/>
          </w:tcPr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ПКП -3 Способность выявлять, регистрировать и идентифицировать риски применения финансовых технологий в коммерческих банках и других институтах финансового рынка, использовать современные методы и модели их оценки,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мониторинг рисков в целях нейтрализации</w:t>
            </w:r>
          </w:p>
        </w:tc>
        <w:tc>
          <w:tcPr>
            <w:tcW w:w="2239" w:type="dxa"/>
          </w:tcPr>
          <w:p w:rsidR="002B35EE" w:rsidRDefault="00EC3E85">
            <w:pPr>
              <w:pStyle w:val="af3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Владеет современным инструментарием, позволяющим выявлять, регистрировать и идентифицировать риски применения финансовых технологий в банковском секторе, а также выполнять их мониторинг в целях нейтрализации.</w:t>
            </w: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2B35E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способность разработать комплекс мероприятий по минимизации рисков применения финансовых технологий в коммерческих банках, и других институтах финансового рынка.</w:t>
            </w:r>
          </w:p>
        </w:tc>
        <w:tc>
          <w:tcPr>
            <w:tcW w:w="2156" w:type="dxa"/>
          </w:tcPr>
          <w:p w:rsidR="002B35EE" w:rsidRDefault="00EC3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1. 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современных методик и инструментов анализа и регулирования рисков финансовых технологий в банке и других институтах финансового рынка </w:t>
            </w:r>
          </w:p>
          <w:p w:rsidR="002B35EE" w:rsidRDefault="002B35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знание методик и современных инструментов анализа и регулирования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рисков финансовых технологий в банке и других институтах финансового рынка</w:t>
            </w:r>
          </w:p>
          <w:p w:rsidR="002B35EE" w:rsidRDefault="002B35EE">
            <w:pPr>
              <w:pStyle w:val="af7"/>
              <w:spacing w:beforeAutospacing="0" w:after="0" w:afterAutospacing="0"/>
              <w:jc w:val="both"/>
              <w:rPr>
                <w:b/>
              </w:rPr>
            </w:pPr>
          </w:p>
          <w:p w:rsidR="002B35EE" w:rsidRDefault="00EC3E85">
            <w:pPr>
              <w:pStyle w:val="af7"/>
              <w:spacing w:beforeAutospacing="0" w:after="0" w:afterAutospacing="0"/>
              <w:jc w:val="both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способов абсорбции рисков, классических и специфических методов их ограничения на макро и микроуровнях, методических основ анализа и оценки рисков кредитных организаций.</w:t>
            </w:r>
          </w:p>
          <w:p w:rsidR="002B35EE" w:rsidRDefault="002B35EE">
            <w:pPr>
              <w:pStyle w:val="af7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spacing w:beforeAutospacing="0" w:after="0" w:afterAutospacing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Умение </w:t>
            </w:r>
            <w:r>
              <w:t xml:space="preserve">применять инструменты и разрабатывать мероприятия по ограничению и абсорбции рисков в денежно- кредитной и финансовой сферах, отдельных денежно-кредитных институтах, выявлять и оценивать воздействия рисков, определять эффективные методы воздействия на риск, а также использовать метод экспертных оценок для проведения качественной оценки основных </w:t>
            </w:r>
            <w:r>
              <w:lastRenderedPageBreak/>
              <w:t>банковских рисков.</w:t>
            </w:r>
          </w:p>
        </w:tc>
        <w:tc>
          <w:tcPr>
            <w:tcW w:w="3543" w:type="dxa"/>
          </w:tcPr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 xml:space="preserve">Используя информационно-аналитические материалы Банка России, Европейского Центрального Банка, Международного Валютного Фонда и </w:t>
            </w:r>
            <w:proofErr w:type="spellStart"/>
            <w:r>
              <w:t>Базельского</w:t>
            </w:r>
            <w:proofErr w:type="spellEnd"/>
            <w:r>
              <w:t xml:space="preserve"> комитета по банковскому надзору, обоснуйте наиболее существенные риски для российского банковского сектора 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rPr>
                <w:b/>
                <w:bCs/>
              </w:rPr>
              <w:t>Задание 2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Проанализировать на материалах сайта Банка России и сайта выбранного банка его стратегию в условиях изменяющейся среды, сделать выводы.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widowControl w:val="0"/>
              <w:shd w:val="clear" w:color="auto" w:fill="FFFFFF"/>
              <w:tabs>
                <w:tab w:val="center" w:pos="1664"/>
              </w:tabs>
              <w:spacing w:beforeAutospacing="0" w:after="0" w:afterAutospacing="0"/>
              <w:jc w:val="both"/>
            </w:pPr>
            <w:r>
              <w:rPr>
                <w:b/>
                <w:bCs/>
              </w:rPr>
              <w:t>Задание 3</w:t>
            </w:r>
            <w:r>
              <w:rPr>
                <w:b/>
                <w:bCs/>
              </w:rPr>
              <w:tab/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 xml:space="preserve">На основе оценки рисков банков с </w:t>
            </w:r>
            <w:proofErr w:type="spellStart"/>
            <w:r>
              <w:t>базовои</w:t>
            </w:r>
            <w:proofErr w:type="spellEnd"/>
            <w:r>
              <w:t xml:space="preserve">̆ </w:t>
            </w:r>
            <w:proofErr w:type="spellStart"/>
            <w:r>
              <w:t>лицензиеи</w:t>
            </w:r>
            <w:proofErr w:type="spellEnd"/>
            <w:r>
              <w:t xml:space="preserve">̆ разработайте систему мер их ограничения не в ущерб </w:t>
            </w:r>
            <w:proofErr w:type="spellStart"/>
            <w:r>
              <w:t>деловои</w:t>
            </w:r>
            <w:proofErr w:type="spellEnd"/>
            <w:r>
              <w:t xml:space="preserve">̆ активности этого кластера банков 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4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>На основе анализа системных рисков банковского сектора разработайте меры по их ограничению для выбранного банка с базовой лицензией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rPr>
                <w:b/>
                <w:bCs/>
              </w:rPr>
              <w:t>Задание 5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>На основании проведенного ранее анализа стратегии выбранного банка с базовой лицензией подготовьте краткое экспертное заключение о рисках ее реализации с учетом внешних факторов воздействия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highlight w:val="yellow"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  <w:rPr>
                <w:highlight w:val="yellow"/>
              </w:rPr>
            </w:pPr>
          </w:p>
        </w:tc>
      </w:tr>
      <w:tr w:rsidR="002B35EE">
        <w:tc>
          <w:tcPr>
            <w:tcW w:w="1837" w:type="dxa"/>
          </w:tcPr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ПКН-4</w:t>
            </w:r>
          </w:p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оценивать показатели деятельности экономических субъектов</w:t>
            </w:r>
          </w:p>
        </w:tc>
        <w:tc>
          <w:tcPr>
            <w:tcW w:w="2239" w:type="dxa"/>
          </w:tcPr>
          <w:p w:rsidR="002B35EE" w:rsidRDefault="00EC3E85">
            <w:pPr>
              <w:pStyle w:val="af3"/>
              <w:widowControl w:val="0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2. Рассчитывает и интерпретирует показатели деятельности экономических субъектов.</w:t>
            </w: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widowControl w:val="0"/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rPr>
                <w:b/>
                <w:bCs/>
              </w:rPr>
              <w:t>1</w:t>
            </w:r>
            <w:r>
              <w:t xml:space="preserve">. </w:t>
            </w:r>
            <w:r>
              <w:rPr>
                <w:b/>
                <w:bCs/>
              </w:rPr>
              <w:t xml:space="preserve">Знание </w:t>
            </w:r>
            <w:r>
              <w:t>нормативных документов регулятора, в которых раскрываются методические подходы оценки финансовых и нефинансовых рисков и качества менеджмента;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>- источников информации, которые используются менеджментом банков проведения расчетов и оценки рисков.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rPr>
                <w:b/>
                <w:bCs/>
              </w:rPr>
              <w:t xml:space="preserve">Умение </w:t>
            </w:r>
            <w:r>
              <w:t>принимать управленческие решения на основе проведенных расчетов финансовых коэффициентов и показателей, используемых в анализе и оценке ключевых видов рисков банка;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>формулировать выводы на основе проведенных расчетов.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jc w:val="both"/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rPr>
                <w:b/>
              </w:rPr>
              <w:t>2.</w:t>
            </w:r>
            <w:r>
              <w:rPr>
                <w:b/>
                <w:bCs/>
              </w:rPr>
              <w:t xml:space="preserve"> Знание</w:t>
            </w:r>
            <w:r>
              <w:t xml:space="preserve"> проблем развития коммерческих банков в условиях экономической неопределенности;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 xml:space="preserve">-виды стратегий кредитных организаций, </w:t>
            </w:r>
            <w:r>
              <w:lastRenderedPageBreak/>
              <w:t>применяемых в современных условиях;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>-правовые факторы, обуславливающие выбор стратегии банка;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Умение </w:t>
            </w:r>
            <w:r>
              <w:t>применять знание современных инструментов анализа и регулирования финансово кредитной сферы для решения профессиональных задач</w:t>
            </w:r>
          </w:p>
        </w:tc>
        <w:tc>
          <w:tcPr>
            <w:tcW w:w="3543" w:type="dxa"/>
          </w:tcPr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Выделить факторы выбора рыночной стратегии коммерческим банком: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размер капитала коммерческого банка;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возможность предложения банком новых услуг;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учет маркетинговой стратегии банков-конкурентов;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развитие активных операций банка.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Выделить определяющие характеристики стратегии проникновения на рынок: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предложение новой, ранее не предлагаемой услуги;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предложение рынка традиционных услуг (кассовых, расчетных, кредитных);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овладение и предложение банком услуг рынка, которые для данного банка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являются новыми, но уже существуют на банковском рынке.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3.Выделить характерные черты стратегии развития банком рынка: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создание нового рынка банковских услуг;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создание нового сегмента банковского рынка;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предложение рынку нового товара.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Выделить главные черты стратегии разработки услуги (продукта) коммерческим банком: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предложение банком сформированной рынком традиционной услуги;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предложение принципиально новых услуг;</w:t>
            </w:r>
          </w:p>
          <w:p w:rsidR="002B35EE" w:rsidRDefault="00EC3E8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предложение модифицированной услуги.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2.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contextualSpacing/>
              <w:jc w:val="both"/>
            </w:pPr>
            <w:r>
              <w:t xml:space="preserve">Проведите анализ, сформулируйте свою позицию </w:t>
            </w:r>
            <w:r>
              <w:lastRenderedPageBreak/>
              <w:t xml:space="preserve">относительно системы мер регулирования финансового рынка и его основного сегмента – банковского сектора в контексте задач, стоящих перед экономикой̆ нашей̆ страны 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3.</w:t>
            </w:r>
          </w:p>
          <w:p w:rsidR="002B35EE" w:rsidRDefault="00EC3E85">
            <w:pPr>
              <w:pStyle w:val="af7"/>
              <w:widowControl w:val="0"/>
              <w:shd w:val="clear" w:color="auto" w:fill="FFFFFF"/>
              <w:spacing w:beforeAutospacing="0" w:after="0" w:afterAutospacing="0"/>
              <w:contextualSpacing/>
              <w:jc w:val="both"/>
            </w:pPr>
            <w:r>
              <w:t xml:space="preserve">В соответствии с разработанными критериями приведите и </w:t>
            </w:r>
            <w:proofErr w:type="spellStart"/>
            <w:r>
              <w:t>обоснуйте</w:t>
            </w:r>
            <w:proofErr w:type="spellEnd"/>
            <w:r>
              <w:t xml:space="preserve"> индикаторы эффективности использования финансовых ресурсов нового механизма санации банков. </w:t>
            </w: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</w:p>
          <w:p w:rsidR="002B35EE" w:rsidRDefault="002B35EE">
            <w:pPr>
              <w:pStyle w:val="af7"/>
              <w:widowControl w:val="0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contextualSpacing/>
              <w:jc w:val="both"/>
            </w:pPr>
            <w:r>
              <w:rPr>
                <w:b/>
                <w:bCs/>
              </w:rPr>
              <w:t>Задание 4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contextualSpacing/>
              <w:jc w:val="both"/>
              <w:rPr>
                <w:b/>
                <w:bCs/>
              </w:rPr>
            </w:pPr>
            <w:r>
              <w:t xml:space="preserve">Предложите систему мер ограничения рисков в секторе необеспеченного потребительского кредитования целях недопущения разрастания «пузыря» </w:t>
            </w:r>
          </w:p>
        </w:tc>
      </w:tr>
      <w:tr w:rsidR="002B35EE">
        <w:tc>
          <w:tcPr>
            <w:tcW w:w="1837" w:type="dxa"/>
          </w:tcPr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ПКН-5</w:t>
            </w:r>
          </w:p>
          <w:p w:rsidR="002B35EE" w:rsidRDefault="00EC3E85">
            <w:pPr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анализировать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239" w:type="dxa"/>
          </w:tcPr>
          <w:p w:rsidR="002B35EE" w:rsidRDefault="00EC3E85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1. Применяет положения международных и национальных стандартов для составления и подтверждении достоверности отчетности организации. </w:t>
            </w: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2B35EE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2B35EE" w:rsidRDefault="00EC3E85">
            <w:pPr>
              <w:pStyle w:val="af3"/>
              <w:widowControl w:val="0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2. Использует результаты анализа финансовой, бухгалтерской, статистической отчетности при составлении финансовых планов, отборе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инвестиционных проектов и принятии оперативных решений на макро-, мезо- и микроуровнях.</w:t>
            </w:r>
          </w:p>
        </w:tc>
        <w:tc>
          <w:tcPr>
            <w:tcW w:w="2156" w:type="dxa"/>
          </w:tcPr>
          <w:p w:rsidR="002B35EE" w:rsidRDefault="00EC3E8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бухгалтерского учета в банках, методов ведения комплексного учета и порядок формирования бухгалтерской и финансовой отчетности банков.</w:t>
            </w:r>
          </w:p>
          <w:p w:rsidR="002B35EE" w:rsidRDefault="002B35E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заполнять формы отчетности, содержащие финансово - бухгалтерскую информацию банка.</w:t>
            </w:r>
          </w:p>
          <w:p w:rsidR="002B35EE" w:rsidRDefault="002B35E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планово-отчетной работы банка, методов разработки текущих и стратегических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планов развития банка</w:t>
            </w:r>
          </w:p>
          <w:p w:rsidR="002B35EE" w:rsidRDefault="002B35E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риски на основе анализа бухгалтерской и иной информации</w:t>
            </w:r>
          </w:p>
        </w:tc>
        <w:tc>
          <w:tcPr>
            <w:tcW w:w="3543" w:type="dxa"/>
          </w:tcPr>
          <w:p w:rsidR="002B35EE" w:rsidRDefault="00EC3E85">
            <w:pPr>
              <w:widowControl w:val="0"/>
              <w:tabs>
                <w:tab w:val="left" w:pos="10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:rsidR="002B35EE" w:rsidRDefault="00EC3E85">
            <w:pPr>
              <w:widowControl w:val="0"/>
              <w:tabs>
                <w:tab w:val="left" w:pos="10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Оценить рискованность жилищных кредитов, предоставленных кредитными организациями России физическим лицам в динамике на основе показателя доли просроченной задолженности (отдельно по жилищным кредитам в целом и по ипотечным кредитам). Используйте графический метод представления данных. Сделайте вывод о наличии тенденции изменения показателей и попытайтесь определить ее причины.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2B35EE" w:rsidRDefault="00EC3E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Оценить операционные риски введения Системы быстрых платежей для небольших региональных банков. Сделать выводы. </w:t>
            </w:r>
          </w:p>
          <w:p w:rsidR="002B35EE" w:rsidRDefault="002B35EE">
            <w:pPr>
              <w:widowControl w:val="0"/>
              <w:tabs>
                <w:tab w:val="left" w:pos="10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35EE" w:rsidRDefault="00EC3E85">
            <w:pPr>
              <w:widowControl w:val="0"/>
              <w:tabs>
                <w:tab w:val="left" w:pos="1092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3. </w:t>
            </w:r>
          </w:p>
          <w:p w:rsidR="002B35EE" w:rsidRDefault="00EC3E85">
            <w:pPr>
              <w:widowControl w:val="0"/>
              <w:tabs>
                <w:tab w:val="left" w:pos="109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форм отчетности банка проведите оценку индивидуального кредитного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 с помощью методики одного из коммерческих банков.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Задание 4. 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</w:pPr>
            <w:r>
              <w:t>На основании форм отчетности коммерческого банка проведение оценку эффективности его деятельности.</w:t>
            </w:r>
          </w:p>
          <w:p w:rsidR="002B35EE" w:rsidRDefault="00EC3E85">
            <w:pPr>
              <w:pStyle w:val="af7"/>
              <w:widowControl w:val="0"/>
              <w:spacing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 xml:space="preserve">Задание 5. </w:t>
            </w:r>
          </w:p>
          <w:p w:rsidR="002B35EE" w:rsidRDefault="00EC3E85">
            <w:pPr>
              <w:widowControl w:val="0"/>
              <w:tabs>
                <w:tab w:val="left" w:pos="10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самостоятельно коммерческий банк. Составьте агрегированный баланс и отчет о прибылях и убытках для данного КБ.</w:t>
            </w:r>
          </w:p>
        </w:tc>
      </w:tr>
    </w:tbl>
    <w:p w:rsidR="00C70CFE" w:rsidRDefault="00C70CF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104775654"/>
      <w:bookmarkStart w:id="21" w:name="_Toc118850375"/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Toc167369877"/>
      <w:r>
        <w:rPr>
          <w:rFonts w:ascii="Times New Roman" w:hAnsi="Times New Roman" w:cs="Times New Roman"/>
          <w:sz w:val="28"/>
          <w:szCs w:val="28"/>
        </w:rPr>
        <w:t>Примерный перечень вопросов для подготовки к зачету</w:t>
      </w:r>
      <w:bookmarkEnd w:id="20"/>
      <w:bookmarkEnd w:id="21"/>
      <w:bookmarkEnd w:id="22"/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Риск-менеджмент: содержание, цели и инструментарий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Процесс стратегического планирования.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Определение стратегических целей.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стратегической альтернативы. Классификация стратегических альтернатив развития банка.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Факторы, влияющие на выбор вариантов стратегии банка.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Виды стратегий банка.            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Содержание, цели и показатели внутреннего анализа банка.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Матрица SWOT-анализа.   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Этапы стратегического планирования в банке.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Анализ внешней среды как важнейший этап стратегического планирования. 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Анализ макроэкономических факторов как часть анализа внешней среды.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Элементы макроэкономики, не поддающиеся контролю и воздействию при реализации стратегии банка.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Направления оптимизации организационной структуры банка для выполнения стратегических целей.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Сущность и назначение бизнес-плана коммерческого банка.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Структура бизнес-плана коммерческого банка.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Стратегический выбор и макроэкономические эффекты деятельности банков с государственным участием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Стратегия поведения банков с государственным участием в капитале </w:t>
      </w:r>
      <w:proofErr w:type="gramStart"/>
      <w:r>
        <w:rPr>
          <w:color w:val="auto"/>
          <w:sz w:val="28"/>
          <w:szCs w:val="28"/>
        </w:rPr>
        <w:t>в современным условиях</w:t>
      </w:r>
      <w:proofErr w:type="gramEnd"/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Проявление противоречий между статусом коммерческого банка и государственной собственностью на капитал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Банки с иностранным капиталом на российском рынке, особенности их стратегий поведения в разных экономических условиях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Кластер региональных банков: характеристика, особенности сферы деятельности и стратегический выбор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Перспективы деятельности региональных банков в условиях макроэкономической нестабильности, аргументы «за» и «против»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Стратегия поведения инвестиционного банка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Сравнительный анализ стратегий развития банков разных кластеров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Малые и средние банки, особенности их стратегий поведений и перспективы развития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Сравнительная оценка финансовой устойчивости крупных и малых банков в современных условиях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Признаки финансовой неустойчивости банка и индикаторы их раннего выявления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Макро и микроиндикаторы финансовой стабильности в банковском секторе, их современная оценка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Превентивные механизмы преодоления кризисных явлений в деятельности кредитной организации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Антикризисные программы периода 1998-2014 гг. в России, особенности и оценка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Перспективы развития страхования жизни в Российской Федерации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Стратегии разработки цифровых страховых продуктов для отечественного страхового рынка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и содержание стратегического управления;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Стратегическое планирование в системе управления банком;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Этапы стратегического планирования;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Виды стратегий в банке, их цели и особенности;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Ключевые разделы типовой структуры стратегии банка и их назначение;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Анализ и прогноз макросреды;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SWOT-анализ;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Определение целей и задач стратегического развития банка;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Структура, принципы и методические основы построения финансовой модели;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Бизнес-стратегия банка и ее содержание;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Стратегия развития систем управления банка;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Стратегия обеспечения и поддержки банковского бизнеса;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Задачи органов управления банком, ответственных за формирование стратегии;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Основные способы разработки стратегии банка;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Этапы стратегического планирования;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Прядок разработки стратегии специалистами банка;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Механизм взаимодействия подразделений и уровней управления банком при разработке стратегии;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Программы и планы внедрения стратегии банка;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 стратегических инициатив и внесения изменений в систему управления банком;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Система ключевых показателей эффективности;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Мотивация персонала на реализацию стратегии банка;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Мониторинг внедрения стратегии;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Источники возникновения и организация управления стратегическим риском;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Факторы стратегического риска. Сопутствующие риски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Распределение управлению стратегическим риском;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Внутренний контроль в стратегическом ответственности за управление стратегическим риском в банке;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Источники стратегического риска;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Меры по минимизации стратегического риска и инструменты его учета;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Регуляторные требования к 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планировании;</w:t>
      </w:r>
    </w:p>
    <w:p w:rsidR="002B35EE" w:rsidRDefault="00EC3E85">
      <w:pPr>
        <w:pStyle w:val="Default"/>
        <w:numPr>
          <w:ilvl w:val="1"/>
          <w:numId w:val="1"/>
        </w:numPr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Методика, принципы и этапы аудита стратегического планирования банка. </w:t>
      </w:r>
    </w:p>
    <w:p w:rsidR="002B35EE" w:rsidRDefault="00EC3E85">
      <w:pPr>
        <w:pStyle w:val="af7"/>
        <w:spacing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Примерные вопросы для тестирования </w:t>
      </w:r>
    </w:p>
    <w:p w:rsidR="002B35EE" w:rsidRDefault="00EC3E85">
      <w:pPr>
        <w:pStyle w:val="af7"/>
        <w:numPr>
          <w:ilvl w:val="0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коммерческого банка это: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 Концепция долгосрочного развития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 Совокупность приемов и методов регулирования рисков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 Миссия банка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 Совокупность документов: бюджетного плана, баланса и отчета о движении денежных средств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e)  Маркетинговая, продуктовая стратегия на рынке </w:t>
      </w:r>
    </w:p>
    <w:p w:rsidR="002B35EE" w:rsidRDefault="00EC3E85">
      <w:pPr>
        <w:pStyle w:val="af7"/>
        <w:numPr>
          <w:ilvl w:val="0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Бизнес-модель банка это: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 Модель развития, ориентированная на извлечение прибыли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 Продуктовая </w:t>
      </w:r>
      <w:proofErr w:type="spellStart"/>
      <w:r>
        <w:rPr>
          <w:sz w:val="28"/>
          <w:szCs w:val="28"/>
        </w:rPr>
        <w:t>линейка</w:t>
      </w:r>
      <w:proofErr w:type="spellEnd"/>
      <w:r>
        <w:rPr>
          <w:sz w:val="28"/>
          <w:szCs w:val="28"/>
        </w:rPr>
        <w:t xml:space="preserve">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 формализованное описание деятельности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 основу составляет собственность на капитал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e)  система ресурсов, менеджмента, бизнес-деятельности и результатов, направленную на удовлетворение </w:t>
      </w:r>
      <w:proofErr w:type="spellStart"/>
      <w:r>
        <w:rPr>
          <w:sz w:val="28"/>
          <w:szCs w:val="28"/>
        </w:rPr>
        <w:t>потребностеи</w:t>
      </w:r>
      <w:proofErr w:type="spellEnd"/>
      <w:r>
        <w:rPr>
          <w:sz w:val="28"/>
          <w:szCs w:val="28"/>
        </w:rPr>
        <w:t xml:space="preserve">̆ клиентов </w:t>
      </w:r>
    </w:p>
    <w:p w:rsidR="002B35EE" w:rsidRDefault="00EC3E85">
      <w:pPr>
        <w:pStyle w:val="af7"/>
        <w:numPr>
          <w:ilvl w:val="0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Превентивные механизмы преодоления кризисных явлений, подразумевают: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a)  Санацию банка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  Выявление первых признаков проблем на основе выделения подозрительных операций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c)  Получение стабилизационных кредитов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 Слияние или присоединение с </w:t>
      </w:r>
      <w:proofErr w:type="spellStart"/>
      <w:r>
        <w:rPr>
          <w:sz w:val="28"/>
          <w:szCs w:val="28"/>
        </w:rPr>
        <w:t>финансово-устойчивым</w:t>
      </w:r>
      <w:proofErr w:type="spellEnd"/>
      <w:r>
        <w:rPr>
          <w:sz w:val="28"/>
          <w:szCs w:val="28"/>
        </w:rPr>
        <w:t xml:space="preserve"> банков </w:t>
      </w:r>
    </w:p>
    <w:p w:rsidR="002B35EE" w:rsidRDefault="00EC3E85">
      <w:pPr>
        <w:pStyle w:val="af7"/>
        <w:numPr>
          <w:ilvl w:val="1"/>
          <w:numId w:val="5"/>
        </w:numPr>
        <w:spacing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e)  Совокупность форм и механизмов блокирования проблемных ситуаций </w:t>
      </w:r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118850376"/>
      <w:bookmarkStart w:id="24" w:name="_Toc167369878"/>
      <w:bookmarkStart w:id="25" w:name="_Toc104775655"/>
      <w:r>
        <w:rPr>
          <w:rFonts w:ascii="Times New Roman" w:hAnsi="Times New Roman" w:cs="Times New Roman"/>
          <w:sz w:val="28"/>
          <w:szCs w:val="28"/>
        </w:rPr>
        <w:t>Примеры типовых контрольных заданий</w:t>
      </w:r>
      <w:bookmarkEnd w:id="23"/>
      <w:bookmarkEnd w:id="24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5"/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Проанализировать на материалах сайта Банка России и сайта выбранного банка его стратегию в условиях изменяющейся среды, сделать выводы.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Задание2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основе представленной ниже (см. таблицу) информации о чувствительности активов и обязательств к процентному риску дайте оценку подверженности банка риску изменения процентной ставки при условии, что на 01.10 текущего года процентные ставки на рынке выросли на 100 базисных пунктов. Сформулируйте выводы и предложения.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– Данные о чувствительности активов и обязательств банка к процентному риску на 01.07 текущего года</w:t>
      </w:r>
    </w:p>
    <w:tbl>
      <w:tblPr>
        <w:tblW w:w="8818" w:type="dxa"/>
        <w:jc w:val="center"/>
        <w:tblLayout w:type="fixed"/>
        <w:tblLook w:val="0000" w:firstRow="0" w:lastRow="0" w:firstColumn="0" w:lastColumn="0" w:noHBand="0" w:noVBand="0"/>
      </w:tblPr>
      <w:tblGrid>
        <w:gridCol w:w="3133"/>
        <w:gridCol w:w="1099"/>
        <w:gridCol w:w="1645"/>
        <w:gridCol w:w="1204"/>
        <w:gridCol w:w="1737"/>
      </w:tblGrid>
      <w:tr w:rsidR="002B35EE">
        <w:trPr>
          <w:trHeight w:val="633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Актив,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Средний уровень </w:t>
            </w:r>
          </w:p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доходности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Пассив,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Средний уровень </w:t>
            </w:r>
          </w:p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затрат</w:t>
            </w:r>
          </w:p>
        </w:tc>
      </w:tr>
      <w:tr w:rsidR="002B35EE">
        <w:trPr>
          <w:trHeight w:val="540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Чувствительные к процентной ставке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13%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10%</w:t>
            </w:r>
          </w:p>
        </w:tc>
      </w:tr>
      <w:tr w:rsidR="002B35EE">
        <w:trPr>
          <w:trHeight w:val="305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фиксированной ставкой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15%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8%</w:t>
            </w:r>
          </w:p>
        </w:tc>
      </w:tr>
      <w:tr w:rsidR="002B35EE">
        <w:trPr>
          <w:trHeight w:val="330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«Неработающие»</w:t>
            </w:r>
          </w:p>
          <w:p w:rsidR="002B35EE" w:rsidRDefault="00EC3E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(беспроцентные)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5EE">
        <w:trPr>
          <w:trHeight w:val="173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920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5EE">
        <w:trPr>
          <w:trHeight w:val="296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Акционерный капитал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35EE">
        <w:trPr>
          <w:trHeight w:val="345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1 000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EC3E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1 000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35EE" w:rsidRDefault="002B35E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3  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Оценить организационные и правовые риски введения Системы быстрых платежей для небольших региональных банков. Сделать выводы. 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4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Выделить факторы выбора рыночной стратегии коммерческим банком: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размер капитала коммерческого банка;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возможность предложения банком новых услуг;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учет маркетинговой стратегии банков-конкурентов;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развитие активных операций банка.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Выделить определяющие характеристики стратегии проникновения на рынок: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предложение новой, ранее не предлагаемой услуги;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предложение рынка традиционных услуг (кассовых, расчетных, кредитных);</w:t>
      </w:r>
    </w:p>
    <w:p w:rsidR="002B35EE" w:rsidRDefault="00EC3E8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овладение и предложение банком услуг рынка, которые для данного банка</w:t>
      </w:r>
      <w:r>
        <w:rPr>
          <w:rFonts w:ascii="Times New Roman" w:hAnsi="Times New Roman" w:cs="Times New Roman"/>
          <w:sz w:val="28"/>
          <w:szCs w:val="28"/>
        </w:rPr>
        <w:br/>
        <w:t>являются новыми, но уже существуют на банковском рынке.</w:t>
      </w:r>
    </w:p>
    <w:p w:rsidR="002B35EE" w:rsidRDefault="002B35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5EE" w:rsidRDefault="00EC3E85">
      <w:pPr>
        <w:pStyle w:val="1"/>
        <w:spacing w:line="276" w:lineRule="auto"/>
        <w:jc w:val="both"/>
        <w:rPr>
          <w:rFonts w:ascii="Times New Roman" w:hAnsi="Times New Roman" w:cs="Times New Roman"/>
          <w:szCs w:val="28"/>
        </w:rPr>
      </w:pPr>
      <w:bookmarkStart w:id="26" w:name="_Toc118850377"/>
      <w:bookmarkStart w:id="27" w:name="_Toc167369879"/>
      <w:r>
        <w:rPr>
          <w:rFonts w:ascii="Times New Roman" w:hAnsi="Times New Roman" w:cs="Times New Roman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6"/>
      <w:bookmarkEnd w:id="27"/>
    </w:p>
    <w:p w:rsidR="002B35EE" w:rsidRDefault="00EC3E85">
      <w:pPr>
        <w:pStyle w:val="Default"/>
        <w:spacing w:line="360" w:lineRule="auto"/>
        <w:ind w:firstLine="708"/>
        <w:jc w:val="both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Нормативные акты</w:t>
      </w:r>
    </w:p>
    <w:p w:rsidR="002B35EE" w:rsidRDefault="00EC3E85" w:rsidP="00C70CFE">
      <w:pPr>
        <w:pStyle w:val="ad"/>
        <w:spacing w:line="360" w:lineRule="auto"/>
        <w:ind w:firstLine="357"/>
        <w:jc w:val="both"/>
      </w:pPr>
      <w:r>
        <w:rPr>
          <w:rFonts w:eastAsiaTheme="minorHAnsi"/>
          <w:sz w:val="28"/>
          <w:szCs w:val="28"/>
          <w:lang w:eastAsia="en-US"/>
        </w:rPr>
        <w:t xml:space="preserve">1. Федеральный закон от 10 июля 2002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86-ФЗ «О Центральном банке Российской Федерации (Банке России)» [Электронный ресурс]. / Справочно-правовая система</w:t>
      </w:r>
      <w:r>
        <w:rPr>
          <w:rFonts w:eastAsiaTheme="minorHAnsi"/>
          <w:sz w:val="28"/>
          <w:szCs w:val="28"/>
          <w:lang w:eastAsia="en-US"/>
        </w:rPr>
        <w:br/>
        <w:t>«</w:t>
      </w:r>
      <w:proofErr w:type="spellStart"/>
      <w:r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Проф. Версия – Режим доступа: </w:t>
      </w:r>
      <w:hyperlink r:id="rId8">
        <w:r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2B35EE" w:rsidRDefault="00EC3E85" w:rsidP="00C70CFE">
      <w:pPr>
        <w:pStyle w:val="ad"/>
        <w:spacing w:line="360" w:lineRule="auto"/>
        <w:ind w:firstLine="357"/>
        <w:jc w:val="both"/>
      </w:pPr>
      <w:r>
        <w:rPr>
          <w:rFonts w:eastAsiaTheme="minorHAnsi"/>
          <w:sz w:val="28"/>
          <w:szCs w:val="28"/>
          <w:lang w:eastAsia="en-US"/>
        </w:rPr>
        <w:t xml:space="preserve">2. Федеральный закон от 2 декабря 1990 г. </w:t>
      </w:r>
      <w:proofErr w:type="spellStart"/>
      <w:r>
        <w:rPr>
          <w:rFonts w:eastAsiaTheme="minorHAnsi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395-1 «О банках и банковской деятельности» [Электронный ресурс]. / Справочно-правовая система «</w:t>
      </w:r>
      <w:proofErr w:type="spellStart"/>
      <w:r>
        <w:rPr>
          <w:rFonts w:eastAsiaTheme="minorHAnsi"/>
          <w:sz w:val="28"/>
          <w:szCs w:val="28"/>
          <w:lang w:eastAsia="en-US"/>
        </w:rPr>
        <w:t>КонсультантПлюс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 Проф. Версия – Режим доступа: </w:t>
      </w:r>
      <w:hyperlink r:id="rId9">
        <w:r>
          <w:rPr>
            <w:rFonts w:eastAsiaTheme="minorHAnsi"/>
            <w:sz w:val="28"/>
            <w:szCs w:val="28"/>
            <w:lang w:eastAsia="en-US"/>
          </w:rPr>
          <w:t>http://www.consultant.ru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2B35EE" w:rsidRDefault="00EC3E85" w:rsidP="00C70CFE">
      <w:pPr>
        <w:pStyle w:val="af3"/>
        <w:spacing w:after="0" w:line="360" w:lineRule="auto"/>
        <w:ind w:left="0" w:firstLine="357"/>
        <w:jc w:val="both"/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 Стратегия повышения финансовой грамотности в РФ на 2017–2023 гг. - [Электронный ресурс]. - URL:</w:t>
      </w:r>
      <w:hyperlink r:id="rId10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http://static.government.ru/media/files/uQZdLRrkPLAdEVdaBsQrk505szCcL4PA.pdf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15.02.2024)</w:t>
      </w:r>
    </w:p>
    <w:p w:rsidR="002B35EE" w:rsidRDefault="00EC3E85" w:rsidP="00C70CFE">
      <w:pPr>
        <w:pStyle w:val="af3"/>
        <w:spacing w:after="0" w:line="360" w:lineRule="auto"/>
        <w:ind w:left="0" w:firstLine="357"/>
        <w:jc w:val="both"/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4. Стратегия повышения финансовой доступности в Российской Федерации на период 2018–2020 гг. - [Электронный ресурс].</w:t>
      </w:r>
      <w:r>
        <w:rPr>
          <w:rFonts w:ascii="Times New Roman" w:hAnsi="Times New Roman"/>
          <w:sz w:val="28"/>
          <w:szCs w:val="28"/>
        </w:rPr>
        <w:t xml:space="preserve"> </w:t>
      </w:r>
      <w:hyperlink r:id="rId11">
        <w:r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URL:</w:t>
        </w:r>
        <w:r>
          <w:rPr>
            <w:rFonts w:ascii="Times New Roman" w:hAnsi="Times New Roman" w:cs="Times New Roman"/>
            <w:sz w:val="28"/>
            <w:szCs w:val="28"/>
            <w:lang w:eastAsia="en-US"/>
          </w:rPr>
          <w:t>https://cbr.ru/Content/Document/File/84497/str_30032018.pdf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(дата обращения: 15.02.2024)</w:t>
      </w:r>
    </w:p>
    <w:p w:rsidR="002B35EE" w:rsidRDefault="00EC3E85" w:rsidP="00C70CFE">
      <w:pPr>
        <w:pStyle w:val="af3"/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 Основные   направления  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развития  финансового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рынка   на 2022 г.  и период 2023 и 2024 гг.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 [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Электронный ресурс]. -URL:https://cbr.ru/about_br/publ/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onfinmarket(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дата обращения: 15.02.2024)</w:t>
      </w:r>
    </w:p>
    <w:p w:rsidR="002B35EE" w:rsidRDefault="00EC3E85" w:rsidP="00C70CFE">
      <w:pPr>
        <w:pStyle w:val="af3"/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Основные 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направления  развития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финансовых технологий на период 2018 – 2020 гг. - [Электронный ресурс]. -URL:https://cbr.ru/Content/Document/File/84852/ON_FinTex_2017.pdf</w:t>
      </w:r>
    </w:p>
    <w:p w:rsidR="002B35EE" w:rsidRDefault="00EC3E85" w:rsidP="00C70CFE">
      <w:pPr>
        <w:pStyle w:val="Default"/>
        <w:spacing w:line="360" w:lineRule="auto"/>
        <w:ind w:firstLine="357"/>
        <w:jc w:val="both"/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7. Основные   </w:t>
      </w:r>
      <w:proofErr w:type="gramStart"/>
      <w:r>
        <w:rPr>
          <w:rFonts w:eastAsiaTheme="minorHAnsi"/>
          <w:color w:val="auto"/>
          <w:sz w:val="28"/>
          <w:szCs w:val="28"/>
          <w:lang w:eastAsia="en-US"/>
        </w:rPr>
        <w:t>направления  единой</w:t>
      </w:r>
      <w:proofErr w:type="gramEnd"/>
      <w:r>
        <w:rPr>
          <w:rFonts w:eastAsiaTheme="minorHAnsi"/>
          <w:color w:val="auto"/>
          <w:sz w:val="28"/>
          <w:szCs w:val="28"/>
          <w:lang w:eastAsia="en-US"/>
        </w:rPr>
        <w:t xml:space="preserve"> государственной денежно-кредитной политики на 2022 год и период 2023 и 2024 годов [Электронный ресурс].  / </w:t>
      </w:r>
      <w:r>
        <w:rPr>
          <w:rFonts w:eastAsiaTheme="minorHAnsi"/>
          <w:color w:val="auto"/>
          <w:sz w:val="28"/>
          <w:szCs w:val="28"/>
          <w:lang w:val="en-US" w:eastAsia="en-US"/>
        </w:rPr>
        <w:t>URL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: </w:t>
      </w:r>
      <w:hyperlink r:id="rId12">
        <w:r>
          <w:rPr>
            <w:rFonts w:eastAsiaTheme="minorHAnsi"/>
            <w:color w:val="auto"/>
            <w:sz w:val="28"/>
            <w:szCs w:val="28"/>
            <w:lang w:eastAsia="en-US"/>
          </w:rPr>
          <w:t>https://cbr.ru/about_br/publ/ondkp/on_2022_2024</w:t>
        </w:r>
      </w:hyperlink>
      <w:r>
        <w:rPr>
          <w:rFonts w:eastAsiaTheme="minorHAnsi"/>
          <w:color w:val="auto"/>
          <w:sz w:val="28"/>
          <w:szCs w:val="28"/>
          <w:lang w:eastAsia="en-US"/>
        </w:rPr>
        <w:t xml:space="preserve"> (дата обращения: 15.02.2024)</w:t>
      </w:r>
    </w:p>
    <w:p w:rsidR="002B35EE" w:rsidRDefault="00EC3E85" w:rsidP="00C70CFE">
      <w:pPr>
        <w:pStyle w:val="Default"/>
        <w:spacing w:line="360" w:lineRule="auto"/>
        <w:ind w:firstLine="357"/>
        <w:jc w:val="both"/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8. Указание Банка России от 3 апреля 2017 г. </w:t>
      </w:r>
      <w:proofErr w:type="spellStart"/>
      <w:r>
        <w:rPr>
          <w:rFonts w:eastAsiaTheme="minorHAnsi"/>
          <w:color w:val="auto"/>
          <w:sz w:val="28"/>
          <w:szCs w:val="28"/>
          <w:lang w:eastAsia="en-US"/>
        </w:rPr>
        <w:t>No</w:t>
      </w:r>
      <w:proofErr w:type="spellEnd"/>
      <w:r>
        <w:rPr>
          <w:rFonts w:eastAsiaTheme="minorHAnsi"/>
          <w:color w:val="auto"/>
          <w:sz w:val="28"/>
          <w:szCs w:val="28"/>
          <w:lang w:eastAsia="en-US"/>
        </w:rPr>
        <w:t xml:space="preserve"> 4336-У «Об оценке экономического</w:t>
      </w:r>
      <w:r>
        <w:rPr>
          <w:rStyle w:val="markedcontent"/>
          <w:color w:val="auto"/>
          <w:sz w:val="28"/>
          <w:szCs w:val="28"/>
        </w:rPr>
        <w:t xml:space="preserve"> положения банков» [Электронный ресурс]. / Справочно-правовая система «</w:t>
      </w:r>
      <w:proofErr w:type="spellStart"/>
      <w:r>
        <w:rPr>
          <w:rStyle w:val="markedcontent"/>
          <w:color w:val="auto"/>
          <w:sz w:val="28"/>
          <w:szCs w:val="28"/>
        </w:rPr>
        <w:t>КонсультантПлюс</w:t>
      </w:r>
      <w:proofErr w:type="spellEnd"/>
      <w:r>
        <w:rPr>
          <w:rStyle w:val="markedcontent"/>
          <w:color w:val="auto"/>
          <w:sz w:val="28"/>
          <w:szCs w:val="28"/>
        </w:rPr>
        <w:t xml:space="preserve">» Проф. Версия – Режим доступа: </w:t>
      </w:r>
      <w:hyperlink r:id="rId13">
        <w:r>
          <w:rPr>
            <w:color w:val="auto"/>
            <w:sz w:val="28"/>
            <w:szCs w:val="28"/>
          </w:rPr>
          <w:t>http://www.consultant.ru</w:t>
        </w:r>
      </w:hyperlink>
      <w:hyperlink>
        <w:r>
          <w:rPr>
            <w:rStyle w:val="markedcontent"/>
            <w:color w:val="auto"/>
            <w:sz w:val="28"/>
            <w:szCs w:val="28"/>
          </w:rPr>
          <w:t>.</w:t>
        </w:r>
      </w:hyperlink>
    </w:p>
    <w:p w:rsidR="002B35EE" w:rsidRDefault="00EC3E85" w:rsidP="00C70CFE">
      <w:pPr>
        <w:pStyle w:val="Default"/>
        <w:spacing w:line="360" w:lineRule="auto"/>
        <w:ind w:firstLine="357"/>
        <w:jc w:val="both"/>
      </w:pPr>
      <w:r>
        <w:rPr>
          <w:rStyle w:val="markedcontent"/>
          <w:sz w:val="28"/>
          <w:szCs w:val="28"/>
        </w:rPr>
        <w:t>9</w:t>
      </w:r>
      <w:r>
        <w:rPr>
          <w:rStyle w:val="markedcontent"/>
          <w:color w:val="auto"/>
          <w:sz w:val="28"/>
          <w:szCs w:val="28"/>
        </w:rPr>
        <w:t xml:space="preserve">. </w:t>
      </w:r>
      <w:r>
        <w:rPr>
          <w:rStyle w:val="markedcontent"/>
          <w:sz w:val="28"/>
          <w:szCs w:val="28"/>
        </w:rPr>
        <w:t>ФЗ Федеральный закон «О несостоятельности (банкротстве) от 26 октября 2002 N127-</w:t>
      </w:r>
      <w:proofErr w:type="gramStart"/>
      <w:r>
        <w:rPr>
          <w:rStyle w:val="markedcontent"/>
          <w:sz w:val="28"/>
          <w:szCs w:val="28"/>
        </w:rPr>
        <w:t>ФЗ</w:t>
      </w:r>
      <w:r>
        <w:rPr>
          <w:sz w:val="28"/>
          <w:szCs w:val="28"/>
        </w:rPr>
        <w:t xml:space="preserve">  </w:t>
      </w:r>
      <w:r>
        <w:rPr>
          <w:rStyle w:val="markedcontent"/>
          <w:sz w:val="28"/>
          <w:szCs w:val="28"/>
        </w:rPr>
        <w:t>[</w:t>
      </w:r>
      <w:proofErr w:type="gramEnd"/>
      <w:r>
        <w:rPr>
          <w:rStyle w:val="markedcontent"/>
          <w:sz w:val="28"/>
          <w:szCs w:val="28"/>
        </w:rPr>
        <w:t>Электронный ресурс]. / Справочно-правовая система «</w:t>
      </w:r>
      <w:proofErr w:type="spellStart"/>
      <w:r>
        <w:rPr>
          <w:rStyle w:val="markedcontent"/>
          <w:sz w:val="28"/>
          <w:szCs w:val="28"/>
        </w:rPr>
        <w:t>КонсультантПлюс</w:t>
      </w:r>
      <w:proofErr w:type="spellEnd"/>
      <w:r>
        <w:rPr>
          <w:rStyle w:val="markedcontent"/>
          <w:sz w:val="28"/>
          <w:szCs w:val="28"/>
        </w:rPr>
        <w:t xml:space="preserve">» Проф. Версия – Режим доступа: </w:t>
      </w:r>
      <w:hyperlink r:id="rId14">
        <w:r>
          <w:rPr>
            <w:sz w:val="28"/>
            <w:szCs w:val="28"/>
          </w:rPr>
          <w:t>http://www.consultant.ru</w:t>
        </w:r>
      </w:hyperlink>
      <w:hyperlink>
        <w:r>
          <w:rPr>
            <w:rStyle w:val="markedcontent"/>
            <w:sz w:val="28"/>
            <w:szCs w:val="28"/>
          </w:rPr>
          <w:t>.</w:t>
        </w:r>
      </w:hyperlink>
    </w:p>
    <w:p w:rsidR="002B35EE" w:rsidRPr="00C70CFE" w:rsidRDefault="00EC3E85" w:rsidP="00C70CFE">
      <w:pPr>
        <w:pStyle w:val="Default"/>
        <w:spacing w:line="360" w:lineRule="auto"/>
        <w:ind w:firstLine="357"/>
        <w:jc w:val="both"/>
      </w:pPr>
      <w:r>
        <w:rPr>
          <w:rStyle w:val="markedcontent"/>
          <w:rFonts w:eastAsia="Times New Roman"/>
          <w:sz w:val="28"/>
          <w:szCs w:val="28"/>
        </w:rPr>
        <w:t>10. Закон РФ «Об организации страхового дела в Российской Федерации» от 27.11.1992г. № 4015-1</w:t>
      </w:r>
    </w:p>
    <w:p w:rsidR="002B35EE" w:rsidRDefault="00EC3E85" w:rsidP="00C70CFE">
      <w:pPr>
        <w:pStyle w:val="Default"/>
        <w:spacing w:line="360" w:lineRule="auto"/>
        <w:ind w:firstLine="357"/>
        <w:jc w:val="both"/>
        <w:rPr>
          <w:sz w:val="28"/>
          <w:szCs w:val="28"/>
        </w:rPr>
      </w:pPr>
      <w:r>
        <w:rPr>
          <w:b/>
          <w:i/>
          <w:color w:val="auto"/>
          <w:sz w:val="28"/>
          <w:szCs w:val="28"/>
        </w:rPr>
        <w:t>Основная литература</w:t>
      </w:r>
    </w:p>
    <w:p w:rsidR="002B35EE" w:rsidRDefault="00EC3E85" w:rsidP="00C70CFE">
      <w:pPr>
        <w:pStyle w:val="ad"/>
        <w:spacing w:line="360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Банковские </w:t>
      </w:r>
      <w:proofErr w:type="gramStart"/>
      <w:r>
        <w:rPr>
          <w:sz w:val="28"/>
          <w:szCs w:val="28"/>
        </w:rPr>
        <w:t>риски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«Финансы и кредит» / Л. Н. Красавина, И. В. Ларионова, М. А. </w:t>
      </w:r>
      <w:proofErr w:type="spellStart"/>
      <w:r>
        <w:rPr>
          <w:sz w:val="28"/>
          <w:szCs w:val="28"/>
        </w:rPr>
        <w:t>Поморина</w:t>
      </w:r>
      <w:proofErr w:type="spellEnd"/>
      <w:r>
        <w:rPr>
          <w:sz w:val="28"/>
          <w:szCs w:val="28"/>
        </w:rPr>
        <w:t xml:space="preserve"> [и др.] ; под ред. О. И. Лаврушина, Н. И. </w:t>
      </w:r>
      <w:proofErr w:type="spellStart"/>
      <w:r>
        <w:rPr>
          <w:sz w:val="28"/>
          <w:szCs w:val="28"/>
        </w:rPr>
        <w:t>Валенцевой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4-е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–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— 361 с. — ISBN 978-5-406-10492-7. — ЭБС BOOK.ru. — URL: https://book.ru/book/945213 (дата обращения: 04.03.2024).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2B35EE" w:rsidRPr="00C70CFE" w:rsidRDefault="00EC3E85" w:rsidP="00C70CFE">
      <w:pPr>
        <w:pStyle w:val="ad"/>
        <w:spacing w:line="360" w:lineRule="auto"/>
        <w:ind w:firstLine="35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12. Банковский </w:t>
      </w:r>
      <w:proofErr w:type="gramStart"/>
      <w:r>
        <w:rPr>
          <w:rFonts w:eastAsiaTheme="minorHAnsi"/>
          <w:sz w:val="28"/>
          <w:szCs w:val="28"/>
          <w:lang w:eastAsia="en-US"/>
        </w:rPr>
        <w:t>менеджмент :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учеб. для напр. </w:t>
      </w:r>
      <w:proofErr w:type="spellStart"/>
      <w:r>
        <w:rPr>
          <w:rFonts w:eastAsiaTheme="minorHAnsi"/>
          <w:sz w:val="28"/>
          <w:szCs w:val="28"/>
          <w:lang w:eastAsia="en-US"/>
        </w:rPr>
        <w:t>бакалавриата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«Экономика» и напр. магистратуры «Финансы и кредит»  / О. И. Лаврушин, Н. И. </w:t>
      </w:r>
      <w:proofErr w:type="spellStart"/>
      <w:r>
        <w:rPr>
          <w:rFonts w:eastAsiaTheme="minorHAnsi"/>
          <w:sz w:val="28"/>
          <w:szCs w:val="28"/>
          <w:lang w:eastAsia="en-US"/>
        </w:rPr>
        <w:t>Валенцева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И. В. Ларионова [и др.] ; под ред. О. И. Лаврушина ; </w:t>
      </w:r>
      <w:proofErr w:type="spellStart"/>
      <w:r>
        <w:rPr>
          <w:rFonts w:eastAsiaTheme="minorHAnsi"/>
          <w:sz w:val="28"/>
          <w:szCs w:val="28"/>
          <w:lang w:eastAsia="en-US"/>
        </w:rPr>
        <w:t>Финуниверситет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— 7-е изд., </w:t>
      </w:r>
      <w:proofErr w:type="spellStart"/>
      <w:r>
        <w:rPr>
          <w:rFonts w:eastAsiaTheme="minorHAnsi"/>
          <w:sz w:val="28"/>
          <w:szCs w:val="28"/>
          <w:lang w:eastAsia="en-US"/>
        </w:rPr>
        <w:t>испр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. и доп. — </w:t>
      </w:r>
      <w:proofErr w:type="gramStart"/>
      <w:r>
        <w:rPr>
          <w:rFonts w:eastAsiaTheme="minorHAnsi"/>
          <w:sz w:val="28"/>
          <w:szCs w:val="28"/>
          <w:lang w:eastAsia="en-US"/>
        </w:rPr>
        <w:t>Москва :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КноРус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2023. — 503 с. — ISBN 978-5-406-11640-1. — ЭБС BOOK.RU. — URL: https://book.ru/book/949371 (дата обращения: 04.03.2024). — </w:t>
      </w:r>
      <w:proofErr w:type="gramStart"/>
      <w:r>
        <w:rPr>
          <w:rFonts w:eastAsiaTheme="minorHAnsi"/>
          <w:sz w:val="28"/>
          <w:szCs w:val="28"/>
          <w:lang w:eastAsia="en-US"/>
        </w:rPr>
        <w:t>Текст :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электронный.</w:t>
      </w:r>
    </w:p>
    <w:p w:rsidR="002B35EE" w:rsidRDefault="00EC3E85" w:rsidP="00C70CFE">
      <w:pPr>
        <w:pStyle w:val="ad"/>
        <w:spacing w:line="360" w:lineRule="auto"/>
        <w:ind w:firstLine="35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</w:t>
      </w:r>
    </w:p>
    <w:p w:rsidR="002B35EE" w:rsidRDefault="00EC3E85" w:rsidP="00C70CFE">
      <w:pPr>
        <w:pStyle w:val="af3"/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13. Риск–менеджмент в коммерческом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банке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монография / И. В. Ларионова, Н. И.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Валенцева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Г. С. Панова [и др.] ; под ред. И. В. Ларионовой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2019. —  453 с. — ЭБС BOOK.ru. —  URL: https://book.ru/book/933610 (дата обращения: 04.03.2024).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2B35EE" w:rsidRDefault="00EC3E85" w:rsidP="00C70CFE">
      <w:pPr>
        <w:pStyle w:val="af3"/>
        <w:spacing w:after="0" w:line="360" w:lineRule="auto"/>
        <w:ind w:left="0"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14. Регулятивные инновации в банковском секторе и их развитие в интересах национальной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экономики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монография / О. И. Лаврушин, О. С. Рудакова, О. У. Авис [и др.] ; под ред. О. И. Лаврушина ;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Финунверситет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2019. — 168 с. — ISBN 978-5-406-06830-4. — URL: https://book.ru/book/932657 (дата обращения: 04.03.2024). —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электронный.</w:t>
      </w:r>
    </w:p>
    <w:p w:rsidR="002B35EE" w:rsidRDefault="00EC3E85" w:rsidP="00C70CFE">
      <w:pPr>
        <w:spacing w:after="0" w:line="360" w:lineRule="auto"/>
        <w:ind w:firstLine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О приведении банковского регулирования в соответствие со стандартами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Базельского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комитета по банковскому надзору (Базель III) в условиях нестабильной экономической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ситуации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 О. И. Лаврушин,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Далецка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С. Е. Дубова [и др.] ; под ред. И. В. Ларионовой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2021. — 189 с. — ISBN 978-5-406-02272-6. — ЭБС BOOK.RU. — URL: https://book.ru/book/936233 (дата обращения: 04.03.2024).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2B35EE" w:rsidRDefault="00EC3E85" w:rsidP="00C70CFE">
      <w:pPr>
        <w:spacing w:after="0" w:line="360" w:lineRule="auto"/>
        <w:ind w:firstLine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Нейтрализация негативного влияния факторов уязвимости национального банковского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сектора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Н.Е. Бровкина, О.И. Лаврушин, Н.А. Амосова [и др.] ; под ред. О.И.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28" w:name="_Hlk160437488"/>
      <w:r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bookmarkEnd w:id="28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2020.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—  175 с. — ISBN 978-5-406-06217-3.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</w:t>
      </w:r>
    </w:p>
    <w:p w:rsidR="002B35EE" w:rsidRDefault="00EC3E85" w:rsidP="00C70CFE">
      <w:pPr>
        <w:spacing w:after="0" w:line="360" w:lineRule="auto"/>
        <w:ind w:firstLine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Развитие банковского сектора и его инфраструктуры в экономике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России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монография / О. И. Лаврушин, О. С. Рудакова, О. У. Авис [и др.] ; под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ред. О. И. Лаврушина 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2017. —  176 с. — ISBN 978-5-406-05703-2.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</w:t>
      </w:r>
    </w:p>
    <w:p w:rsidR="00C70CFE" w:rsidRPr="00C70CFE" w:rsidRDefault="00EC3E85" w:rsidP="00C70CFE">
      <w:pPr>
        <w:spacing w:after="0" w:line="360" w:lineRule="auto"/>
        <w:ind w:firstLine="35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Банковская система в современной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экономике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/ О. И. Лаврушин, Н. 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Валенцева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И. В. Ларионова [и др.] ; под ред. О. И. Лаврушина. — 2-е изд., стер.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2012. — 354 с. — ISBN 978-5-406-02053-1.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</w:t>
      </w:r>
    </w:p>
    <w:p w:rsidR="002B35EE" w:rsidRDefault="00EC3E85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29" w:name="_Toc118850378"/>
      <w:bookmarkStart w:id="30" w:name="_Toc167369880"/>
      <w:r>
        <w:rPr>
          <w:rFonts w:ascii="Times New Roman" w:hAnsi="Times New Roman" w:cs="Times New Roman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9"/>
      <w:bookmarkEnd w:id="30"/>
    </w:p>
    <w:p w:rsidR="002B35EE" w:rsidRPr="00C70CFE" w:rsidRDefault="00124C0D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15">
        <w:r w:rsidR="00EC3E85" w:rsidRPr="00C70CFE">
          <w:rPr>
            <w:spacing w:val="-2"/>
            <w:sz w:val="28"/>
            <w:szCs w:val="28"/>
          </w:rPr>
          <w:t>http://www.cbr.ru</w:t>
        </w:r>
      </w:hyperlink>
      <w:r w:rsidR="00EC3E85" w:rsidRPr="00C70CFE">
        <w:rPr>
          <w:spacing w:val="-2"/>
          <w:sz w:val="28"/>
          <w:szCs w:val="28"/>
        </w:rPr>
        <w:t xml:space="preserve">  - Сайт Центрального Банка России. </w:t>
      </w:r>
    </w:p>
    <w:p w:rsidR="002B35EE" w:rsidRPr="00C70CFE" w:rsidRDefault="00124C0D" w:rsidP="00C70CFE">
      <w:pPr>
        <w:pStyle w:val="Default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16">
        <w:r w:rsidR="00EC3E85" w:rsidRPr="00C70CFE">
          <w:rPr>
            <w:color w:val="auto"/>
            <w:spacing w:val="-2"/>
            <w:sz w:val="28"/>
            <w:szCs w:val="28"/>
          </w:rPr>
          <w:t>http://www.</w:t>
        </w:r>
        <w:proofErr w:type="spellStart"/>
        <w:r w:rsidR="00EC3E85" w:rsidRPr="00C70CFE">
          <w:rPr>
            <w:color w:val="auto"/>
            <w:spacing w:val="-2"/>
            <w:sz w:val="28"/>
            <w:szCs w:val="28"/>
            <w:lang w:val="en-US"/>
          </w:rPr>
          <w:t>asv</w:t>
        </w:r>
        <w:proofErr w:type="spellEnd"/>
        <w:r w:rsidR="00EC3E85" w:rsidRPr="00C70CFE">
          <w:rPr>
            <w:color w:val="auto"/>
            <w:spacing w:val="-2"/>
            <w:sz w:val="28"/>
            <w:szCs w:val="28"/>
          </w:rPr>
          <w:t>.</w:t>
        </w:r>
        <w:r w:rsidR="00EC3E85" w:rsidRPr="00C70CFE">
          <w:rPr>
            <w:color w:val="auto"/>
            <w:spacing w:val="-2"/>
            <w:sz w:val="28"/>
            <w:szCs w:val="28"/>
            <w:lang w:val="en-US"/>
          </w:rPr>
          <w:t>org</w:t>
        </w:r>
      </w:hyperlink>
      <w:r w:rsidR="00EC3E85" w:rsidRPr="00C70CFE">
        <w:rPr>
          <w:color w:val="auto"/>
          <w:spacing w:val="-2"/>
          <w:sz w:val="28"/>
          <w:szCs w:val="28"/>
        </w:rPr>
        <w:t xml:space="preserve"> – Сайт Агентства по страхованию вкладов граждан</w:t>
      </w:r>
    </w:p>
    <w:p w:rsidR="002B35EE" w:rsidRPr="00C70CFE" w:rsidRDefault="00124C0D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17">
        <w:r w:rsidR="00EC3E85" w:rsidRPr="00C70CFE">
          <w:rPr>
            <w:spacing w:val="-2"/>
            <w:sz w:val="28"/>
            <w:szCs w:val="28"/>
          </w:rPr>
          <w:t>http://www.bis.org</w:t>
        </w:r>
      </w:hyperlink>
      <w:r w:rsidR="00EC3E85" w:rsidRPr="00C70CFE">
        <w:rPr>
          <w:spacing w:val="-2"/>
          <w:sz w:val="28"/>
          <w:szCs w:val="28"/>
        </w:rPr>
        <w:t xml:space="preserve"> - Сайт Банка Международных расчетов и </w:t>
      </w:r>
      <w:proofErr w:type="spellStart"/>
      <w:r w:rsidR="00EC3E85" w:rsidRPr="00C70CFE">
        <w:rPr>
          <w:spacing w:val="-2"/>
          <w:sz w:val="28"/>
          <w:szCs w:val="28"/>
        </w:rPr>
        <w:t>Базельского</w:t>
      </w:r>
      <w:proofErr w:type="spellEnd"/>
      <w:r w:rsidR="00EC3E85" w:rsidRPr="00C70CFE">
        <w:rPr>
          <w:spacing w:val="-2"/>
          <w:sz w:val="28"/>
          <w:szCs w:val="28"/>
        </w:rPr>
        <w:t xml:space="preserve"> комитета по банковскому надзору</w:t>
      </w:r>
    </w:p>
    <w:p w:rsidR="002B35EE" w:rsidRPr="00C70CFE" w:rsidRDefault="00124C0D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18">
        <w:r w:rsidR="00EC3E85" w:rsidRPr="00C70CFE">
          <w:rPr>
            <w:spacing w:val="-2"/>
            <w:sz w:val="28"/>
            <w:szCs w:val="28"/>
          </w:rPr>
          <w:t>http://www.</w:t>
        </w:r>
        <w:proofErr w:type="spellStart"/>
        <w:r w:rsidR="00EC3E85" w:rsidRPr="00C70CFE">
          <w:rPr>
            <w:spacing w:val="-2"/>
            <w:sz w:val="28"/>
            <w:szCs w:val="28"/>
            <w:lang w:val="en-US"/>
          </w:rPr>
          <w:t>fsb</w:t>
        </w:r>
        <w:proofErr w:type="spellEnd"/>
        <w:r w:rsidR="00EC3E85" w:rsidRPr="00C70CFE">
          <w:rPr>
            <w:spacing w:val="-2"/>
            <w:sz w:val="28"/>
            <w:szCs w:val="28"/>
          </w:rPr>
          <w:t>.</w:t>
        </w:r>
        <w:proofErr w:type="spellStart"/>
        <w:r w:rsidR="00EC3E85" w:rsidRPr="00C70CFE">
          <w:rPr>
            <w:spacing w:val="-2"/>
            <w:sz w:val="28"/>
            <w:szCs w:val="28"/>
          </w:rPr>
          <w:t>org</w:t>
        </w:r>
        <w:proofErr w:type="spellEnd"/>
      </w:hyperlink>
      <w:r w:rsidR="00EC3E85" w:rsidRPr="00C70CFE">
        <w:rPr>
          <w:spacing w:val="-2"/>
          <w:sz w:val="28"/>
          <w:szCs w:val="28"/>
        </w:rPr>
        <w:t xml:space="preserve"> - Сайт Комитета по финансовой стабильности</w:t>
      </w:r>
    </w:p>
    <w:p w:rsidR="002B35EE" w:rsidRPr="00C70CFE" w:rsidRDefault="00124C0D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19">
        <w:r w:rsidR="00EC3E85" w:rsidRPr="00C70CFE">
          <w:rPr>
            <w:spacing w:val="-2"/>
            <w:sz w:val="28"/>
            <w:szCs w:val="28"/>
            <w:lang w:val="en-US"/>
          </w:rPr>
          <w:t>http</w:t>
        </w:r>
        <w:r w:rsidR="00EC3E85" w:rsidRPr="00C70CFE">
          <w:rPr>
            <w:spacing w:val="-2"/>
            <w:sz w:val="28"/>
            <w:szCs w:val="28"/>
          </w:rPr>
          <w:t>://</w:t>
        </w:r>
        <w:r w:rsidR="00EC3E85" w:rsidRPr="00C70CFE">
          <w:rPr>
            <w:spacing w:val="-2"/>
            <w:sz w:val="28"/>
            <w:szCs w:val="28"/>
            <w:lang w:val="en-US"/>
          </w:rPr>
          <w:t>www</w:t>
        </w:r>
        <w:r w:rsidR="00EC3E85" w:rsidRPr="00C70CFE">
          <w:rPr>
            <w:spacing w:val="-2"/>
            <w:sz w:val="28"/>
            <w:szCs w:val="28"/>
          </w:rPr>
          <w:t>.</w:t>
        </w:r>
        <w:proofErr w:type="spellStart"/>
        <w:r w:rsidR="00EC3E85" w:rsidRPr="00C70CFE">
          <w:rPr>
            <w:spacing w:val="-2"/>
            <w:sz w:val="28"/>
            <w:szCs w:val="28"/>
            <w:lang w:val="en-US"/>
          </w:rPr>
          <w:t>mmvb</w:t>
        </w:r>
        <w:proofErr w:type="spellEnd"/>
        <w:r w:rsidR="00EC3E85" w:rsidRPr="00C70CFE">
          <w:rPr>
            <w:spacing w:val="-2"/>
            <w:sz w:val="28"/>
            <w:szCs w:val="28"/>
          </w:rPr>
          <w:t>.</w:t>
        </w:r>
        <w:proofErr w:type="spellStart"/>
        <w:r w:rsidR="00EC3E85" w:rsidRPr="00C70CFE">
          <w:rPr>
            <w:spacing w:val="-2"/>
            <w:sz w:val="28"/>
            <w:szCs w:val="28"/>
            <w:lang w:val="en-US"/>
          </w:rPr>
          <w:t>ru</w:t>
        </w:r>
        <w:proofErr w:type="spellEnd"/>
        <w:r w:rsidR="00EC3E85" w:rsidRPr="00C70CFE">
          <w:rPr>
            <w:spacing w:val="-2"/>
            <w:sz w:val="28"/>
            <w:szCs w:val="28"/>
          </w:rPr>
          <w:t>/</w:t>
        </w:r>
      </w:hyperlink>
      <w:r w:rsidR="00EC3E85" w:rsidRPr="00C70CFE">
        <w:rPr>
          <w:spacing w:val="-2"/>
          <w:sz w:val="28"/>
          <w:szCs w:val="28"/>
        </w:rPr>
        <w:t xml:space="preserve"> - </w:t>
      </w:r>
      <w:r w:rsidR="00EC3E85" w:rsidRPr="00C70CFE">
        <w:rPr>
          <w:sz w:val="28"/>
          <w:szCs w:val="28"/>
        </w:rPr>
        <w:t>Интернет-страница ММВБ</w:t>
      </w:r>
    </w:p>
    <w:p w:rsidR="002B35EE" w:rsidRPr="00C70CFE" w:rsidRDefault="00124C0D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20">
        <w:r w:rsidR="00EC3E85" w:rsidRPr="00C70CFE">
          <w:rPr>
            <w:spacing w:val="-2"/>
            <w:sz w:val="28"/>
            <w:szCs w:val="28"/>
          </w:rPr>
          <w:t>http://www.cbonds.ru</w:t>
        </w:r>
      </w:hyperlink>
      <w:r w:rsidR="00EC3E85" w:rsidRPr="00C70CFE">
        <w:rPr>
          <w:spacing w:val="-2"/>
          <w:sz w:val="28"/>
          <w:szCs w:val="28"/>
        </w:rPr>
        <w:t xml:space="preserve"> - Интернет-страница Информационного агентства </w:t>
      </w:r>
      <w:proofErr w:type="spellStart"/>
      <w:r w:rsidR="00EC3E85" w:rsidRPr="00C70CFE">
        <w:rPr>
          <w:spacing w:val="-2"/>
          <w:sz w:val="28"/>
          <w:szCs w:val="28"/>
        </w:rPr>
        <w:t>Cbonds</w:t>
      </w:r>
      <w:proofErr w:type="spellEnd"/>
      <w:r w:rsidR="00EC3E85" w:rsidRPr="00C70CFE">
        <w:rPr>
          <w:spacing w:val="-2"/>
          <w:sz w:val="28"/>
          <w:szCs w:val="28"/>
        </w:rPr>
        <w:t xml:space="preserve"> </w:t>
      </w:r>
    </w:p>
    <w:p w:rsidR="002B35EE" w:rsidRPr="00C70CFE" w:rsidRDefault="00124C0D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hyperlink r:id="rId21">
        <w:r w:rsidR="00EC3E85" w:rsidRPr="00C70CFE">
          <w:rPr>
            <w:spacing w:val="-2"/>
            <w:sz w:val="28"/>
            <w:szCs w:val="28"/>
          </w:rPr>
          <w:t>http://www.ndc.ru</w:t>
        </w:r>
      </w:hyperlink>
      <w:r w:rsidR="00EC3E85" w:rsidRPr="00C70CFE">
        <w:rPr>
          <w:spacing w:val="-2"/>
          <w:sz w:val="28"/>
          <w:szCs w:val="28"/>
        </w:rPr>
        <w:t xml:space="preserve"> -</w:t>
      </w:r>
      <w:r w:rsidR="00EC3E85" w:rsidRPr="00C70CFE">
        <w:rPr>
          <w:sz w:val="28"/>
          <w:szCs w:val="28"/>
        </w:rPr>
        <w:t xml:space="preserve"> </w:t>
      </w:r>
      <w:r w:rsidR="00EC3E85" w:rsidRPr="00C70CFE">
        <w:rPr>
          <w:spacing w:val="-2"/>
          <w:sz w:val="28"/>
          <w:szCs w:val="28"/>
        </w:rPr>
        <w:t>Интернет-страница Некоммерческое партнерство «Национальный депозитарный центр»</w:t>
      </w:r>
    </w:p>
    <w:p w:rsidR="002B35EE" w:rsidRPr="00C70CFE" w:rsidRDefault="00EC3E85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C70CFE">
        <w:rPr>
          <w:spacing w:val="-2"/>
          <w:sz w:val="28"/>
          <w:szCs w:val="28"/>
        </w:rPr>
        <w:t>http://www.minfin.ru - Интернет-страница Министерства Финансов РФ</w:t>
      </w:r>
    </w:p>
    <w:p w:rsidR="002B35EE" w:rsidRPr="00C70CFE" w:rsidRDefault="00EC3E85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C70CFE">
        <w:rPr>
          <w:spacing w:val="-2"/>
          <w:sz w:val="28"/>
          <w:szCs w:val="28"/>
        </w:rPr>
        <w:t xml:space="preserve"> </w:t>
      </w:r>
      <w:hyperlink r:id="rId22">
        <w:r w:rsidRPr="00C70CFE">
          <w:rPr>
            <w:spacing w:val="-2"/>
            <w:sz w:val="28"/>
            <w:szCs w:val="28"/>
          </w:rPr>
          <w:t>http://www.rvs.ru/</w:t>
        </w:r>
      </w:hyperlink>
      <w:r w:rsidRPr="00C70CFE">
        <w:rPr>
          <w:spacing w:val="-2"/>
          <w:sz w:val="28"/>
          <w:szCs w:val="28"/>
        </w:rPr>
        <w:t xml:space="preserve"> - Интернет-страница ЗАО «</w:t>
      </w:r>
      <w:proofErr w:type="spellStart"/>
      <w:r w:rsidRPr="00C70CFE">
        <w:rPr>
          <w:spacing w:val="-2"/>
          <w:sz w:val="28"/>
          <w:szCs w:val="28"/>
        </w:rPr>
        <w:t>Мегасофт</w:t>
      </w:r>
      <w:proofErr w:type="spellEnd"/>
      <w:r w:rsidRPr="00C70CFE">
        <w:rPr>
          <w:spacing w:val="-2"/>
          <w:sz w:val="28"/>
          <w:szCs w:val="28"/>
        </w:rPr>
        <w:t xml:space="preserve">» </w:t>
      </w:r>
    </w:p>
    <w:p w:rsidR="002B35EE" w:rsidRPr="00C70CFE" w:rsidRDefault="00EC3E85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C70CFE">
        <w:rPr>
          <w:spacing w:val="-2"/>
          <w:sz w:val="28"/>
          <w:szCs w:val="28"/>
        </w:rPr>
        <w:t xml:space="preserve"> </w:t>
      </w:r>
      <w:hyperlink r:id="rId23">
        <w:r w:rsidRPr="00C70CFE">
          <w:rPr>
            <w:spacing w:val="-2"/>
            <w:sz w:val="28"/>
            <w:szCs w:val="28"/>
          </w:rPr>
          <w:t>http://www.rvs.ru/</w:t>
        </w:r>
      </w:hyperlink>
      <w:r w:rsidRPr="00C70CFE">
        <w:rPr>
          <w:spacing w:val="-2"/>
          <w:sz w:val="28"/>
          <w:szCs w:val="28"/>
        </w:rPr>
        <w:t xml:space="preserve"> - Информационная торговая система «Российская внебиржевая сеть «РВС» </w:t>
      </w:r>
    </w:p>
    <w:p w:rsidR="002B35EE" w:rsidRPr="00C70CFE" w:rsidRDefault="00EC3E85" w:rsidP="00C70CFE">
      <w:pPr>
        <w:pStyle w:val="ad"/>
        <w:numPr>
          <w:ilvl w:val="0"/>
          <w:numId w:val="2"/>
        </w:numPr>
        <w:spacing w:line="360" w:lineRule="auto"/>
        <w:ind w:left="357" w:hanging="357"/>
        <w:jc w:val="both"/>
        <w:rPr>
          <w:sz w:val="28"/>
          <w:szCs w:val="28"/>
        </w:rPr>
      </w:pPr>
      <w:r w:rsidRPr="00C70CFE">
        <w:rPr>
          <w:spacing w:val="-2"/>
          <w:sz w:val="28"/>
          <w:szCs w:val="28"/>
        </w:rPr>
        <w:t xml:space="preserve"> //www.regiongroup.ru/ - Интернет-страница ИК «Регион» </w:t>
      </w:r>
    </w:p>
    <w:p w:rsidR="002B35EE" w:rsidRPr="00C70CFE" w:rsidRDefault="00EC3E85" w:rsidP="00C70CF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C70CF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Всероссийский союз страховщиков http://www.ins-union.ru </w:t>
      </w:r>
    </w:p>
    <w:p w:rsidR="002B35EE" w:rsidRPr="00C70CFE" w:rsidRDefault="00EC3E85" w:rsidP="00C70CF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C70CFE">
        <w:rPr>
          <w:rFonts w:ascii="Times New Roman" w:eastAsia="Times New Roman" w:hAnsi="Times New Roman" w:cs="Times New Roman"/>
          <w:spacing w:val="-2"/>
          <w:sz w:val="28"/>
          <w:szCs w:val="28"/>
        </w:rPr>
        <w:t>Электронная библиотека Финансового университета (ЭБ) http://elib.fa.ru/</w:t>
      </w:r>
    </w:p>
    <w:p w:rsidR="002B35EE" w:rsidRPr="00C70CFE" w:rsidRDefault="00EC3E85" w:rsidP="00C70CF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C70CFE">
        <w:rPr>
          <w:rFonts w:ascii="Times New Roman" w:eastAsia="Times New Roman" w:hAnsi="Times New Roman" w:cs="Times New Roman"/>
          <w:spacing w:val="-2"/>
          <w:sz w:val="28"/>
          <w:szCs w:val="28"/>
        </w:rPr>
        <w:t>Электронно-библиотечная система BOOK.RU http://www.book.ru</w:t>
      </w:r>
    </w:p>
    <w:p w:rsidR="002B35EE" w:rsidRDefault="002B35EE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Cs w:val="28"/>
        </w:rPr>
      </w:pPr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167369881"/>
      <w:r>
        <w:rPr>
          <w:rFonts w:ascii="Times New Roman" w:hAnsi="Times New Roman" w:cs="Times New Roman"/>
          <w:sz w:val="28"/>
          <w:szCs w:val="28"/>
        </w:rPr>
        <w:lastRenderedPageBreak/>
        <w:t>10. Методические указания для обучающихся студентов по освоению дисциплины</w:t>
      </w:r>
      <w:bookmarkEnd w:id="31"/>
    </w:p>
    <w:p w:rsidR="002B35EE" w:rsidRDefault="00EC3E85">
      <w:pPr>
        <w:tabs>
          <w:tab w:val="left" w:pos="540"/>
        </w:tabs>
        <w:spacing w:after="0" w:line="360" w:lineRule="auto"/>
        <w:ind w:firstLine="709"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 </w:t>
      </w:r>
      <w:r w:rsidR="00C70CFE">
        <w:rPr>
          <w:rFonts w:ascii="Times New Roman" w:hAnsi="Times New Roman" w:cs="Times New Roman"/>
          <w:sz w:val="28"/>
          <w:szCs w:val="28"/>
        </w:rPr>
        <w:t xml:space="preserve">Кафедрой </w:t>
      </w:r>
      <w:r>
        <w:rPr>
          <w:rFonts w:ascii="Times New Roman" w:hAnsi="Times New Roman" w:cs="Times New Roman"/>
          <w:sz w:val="28"/>
          <w:szCs w:val="28"/>
        </w:rPr>
        <w:t xml:space="preserve">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2B35EE" w:rsidRDefault="002B35EE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2" w:name="_Toc167369882"/>
      <w:r>
        <w:rPr>
          <w:rFonts w:ascii="Times New Roman" w:hAnsi="Times New Roman" w:cs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</w:p>
    <w:p w:rsidR="002B35EE" w:rsidRDefault="00EC3E85">
      <w:pPr>
        <w:spacing w:after="0" w:line="360" w:lineRule="auto"/>
        <w:ind w:firstLine="709"/>
        <w:jc w:val="both"/>
        <w:textAlignment w:val="baseline"/>
        <w:outlineLvl w:val="0"/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</w:pPr>
      <w:bookmarkStart w:id="33" w:name="_Toc162960197"/>
      <w:bookmarkStart w:id="34" w:name="_Toc118850381"/>
      <w:bookmarkStart w:id="35" w:name="_Toc167369883"/>
      <w:r>
        <w:rPr>
          <w:rFonts w:ascii="Times New Roman" w:hAnsi="Times New Roman" w:cs="Times New Roman"/>
          <w:b/>
          <w:sz w:val="28"/>
          <w:szCs w:val="28"/>
        </w:rPr>
        <w:t xml:space="preserve">11.1 </w:t>
      </w:r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Комплект лицензионного программного обеспечения:</w:t>
      </w:r>
      <w:bookmarkEnd w:id="33"/>
      <w:bookmarkEnd w:id="34"/>
      <w:bookmarkEnd w:id="35"/>
    </w:p>
    <w:p w:rsidR="002B35EE" w:rsidRDefault="00EC3E85">
      <w:pPr>
        <w:pStyle w:val="af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Microsoft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STATISTICA</w:t>
      </w:r>
    </w:p>
    <w:p w:rsidR="002B35EE" w:rsidRDefault="00EC3E85">
      <w:pPr>
        <w:pStyle w:val="af3"/>
        <w:keepNext/>
        <w:spacing w:after="0"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6" w:name="_Toc162960198"/>
      <w:bookmarkStart w:id="37" w:name="_Toc118850382"/>
      <w:bookmarkStart w:id="38" w:name="_Toc167369855"/>
      <w:bookmarkStart w:id="39" w:name="_Toc167369884"/>
      <w:r>
        <w:rPr>
          <w:rFonts w:ascii="Times New Roman" w:hAnsi="Times New Roman" w:cs="Times New Roman"/>
          <w:sz w:val="28"/>
          <w:szCs w:val="28"/>
        </w:rPr>
        <w:t xml:space="preserve">2. Антивирус </w:t>
      </w:r>
      <w:r>
        <w:rPr>
          <w:rFonts w:ascii="Times New Roman" w:hAnsi="Times New Roman" w:cs="Times New Roman"/>
          <w:sz w:val="28"/>
          <w:szCs w:val="28"/>
          <w:lang w:val="en-US"/>
        </w:rPr>
        <w:t>Kaspersky</w:t>
      </w:r>
      <w:bookmarkEnd w:id="36"/>
      <w:bookmarkEnd w:id="37"/>
      <w:bookmarkEnd w:id="38"/>
      <w:bookmarkEnd w:id="39"/>
    </w:p>
    <w:p w:rsidR="002B35EE" w:rsidRDefault="00EC3E85">
      <w:pPr>
        <w:pStyle w:val="af3"/>
        <w:keepNext/>
        <w:spacing w:after="0" w:line="360" w:lineRule="auto"/>
        <w:ind w:left="0" w:firstLine="709"/>
        <w:jc w:val="both"/>
        <w:outlineLvl w:val="0"/>
        <w:rPr>
          <w:rFonts w:ascii="Times New Roman" w:eastAsia="Calibri" w:hAnsi="Times New Roman" w:cs="Times New Roman"/>
          <w:bCs/>
          <w:kern w:val="2"/>
          <w:sz w:val="28"/>
          <w:szCs w:val="28"/>
        </w:rPr>
      </w:pPr>
      <w:bookmarkStart w:id="40" w:name="_Toc531686470"/>
      <w:bookmarkStart w:id="41" w:name="_Toc531614953"/>
      <w:bookmarkStart w:id="42" w:name="_Toc162960199"/>
      <w:bookmarkStart w:id="43" w:name="_Toc118850383"/>
      <w:bookmarkStart w:id="44" w:name="_Toc167369885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11.2. Современные профессиональные базы данных и информационные   справочные системы</w:t>
      </w:r>
      <w:bookmarkEnd w:id="40"/>
      <w:bookmarkEnd w:id="41"/>
      <w:r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.</w:t>
      </w:r>
      <w:bookmarkEnd w:id="42"/>
      <w:bookmarkEnd w:id="43"/>
      <w:bookmarkEnd w:id="44"/>
    </w:p>
    <w:p w:rsidR="002B35EE" w:rsidRDefault="00EC3E85">
      <w:pPr>
        <w:pStyle w:val="Normal140"/>
        <w:tabs>
          <w:tab w:val="left" w:pos="1134"/>
        </w:tabs>
        <w:spacing w:line="360" w:lineRule="auto"/>
        <w:ind w:firstLine="709"/>
      </w:pPr>
      <w:r>
        <w:t xml:space="preserve">- Информационно-правовая система «Консультант Плюс»; </w:t>
      </w:r>
    </w:p>
    <w:p w:rsidR="002B35EE" w:rsidRDefault="00EC3E85">
      <w:pPr>
        <w:pStyle w:val="Normal140"/>
        <w:tabs>
          <w:tab w:val="left" w:pos="1134"/>
        </w:tabs>
        <w:spacing w:line="360" w:lineRule="auto"/>
        <w:ind w:firstLine="709"/>
      </w:pPr>
      <w:r>
        <w:t>- Информационно-правовая система «Гарант»;</w:t>
      </w:r>
    </w:p>
    <w:p w:rsidR="002B35EE" w:rsidRDefault="00EC3E85">
      <w:pPr>
        <w:pStyle w:val="af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И</w:t>
      </w:r>
      <w:r>
        <w:rPr>
          <w:rFonts w:ascii="Times New Roman" w:hAnsi="Times New Roman" w:cs="Times New Roman"/>
          <w:sz w:val="28"/>
          <w:szCs w:val="28"/>
        </w:rPr>
        <w:t>нформационно-аналитические базы данных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СПАРК; </w:t>
      </w:r>
      <w:proofErr w:type="spellStart"/>
      <w:r>
        <w:rPr>
          <w:rFonts w:ascii="Times New Roman" w:hAnsi="Times New Roman" w:cs="Times New Roman"/>
          <w:sz w:val="28"/>
          <w:szCs w:val="28"/>
        </w:rPr>
        <w:t>Bankscope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B35EE" w:rsidRDefault="00EC3E85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2B35EE" w:rsidRDefault="00EC3E8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Указанные средства не используются</w:t>
      </w:r>
    </w:p>
    <w:p w:rsidR="002B35EE" w:rsidRDefault="002B35E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35EE" w:rsidRDefault="00EC3E85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5" w:name="_Toc167369886"/>
      <w:r>
        <w:rPr>
          <w:rFonts w:ascii="Times New Roman" w:hAnsi="Times New Roman" w:cs="Times New Roman"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ab/>
        <w:t>Описание материально-технической базы, необходимой для осуществления образовательного процесса по дисциплине.</w:t>
      </w:r>
      <w:bookmarkEnd w:id="45"/>
    </w:p>
    <w:p w:rsidR="002B35EE" w:rsidRDefault="00EC3E85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:rsidR="002B35EE" w:rsidRDefault="00EC3E85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sectPr w:rsidR="002B35EE">
      <w:footerReference w:type="default" r:id="rId24"/>
      <w:pgSz w:w="11906" w:h="16838"/>
      <w:pgMar w:top="1134" w:right="851" w:bottom="1134" w:left="1701" w:header="0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C0D" w:rsidRDefault="00124C0D">
      <w:pPr>
        <w:spacing w:after="0" w:line="240" w:lineRule="auto"/>
      </w:pPr>
      <w:r>
        <w:separator/>
      </w:r>
    </w:p>
  </w:endnote>
  <w:endnote w:type="continuationSeparator" w:id="0">
    <w:p w:rsidR="00124C0D" w:rsidRDefault="00124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6546822"/>
      <w:docPartObj>
        <w:docPartGallery w:val="Page Numbers (Bottom of Page)"/>
        <w:docPartUnique/>
      </w:docPartObj>
    </w:sdtPr>
    <w:sdtEndPr/>
    <w:sdtContent>
      <w:p w:rsidR="002B35EE" w:rsidRDefault="00EC3E85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4253E0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C0D" w:rsidRDefault="00124C0D">
      <w:pPr>
        <w:spacing w:after="0" w:line="240" w:lineRule="auto"/>
      </w:pPr>
      <w:r>
        <w:separator/>
      </w:r>
    </w:p>
  </w:footnote>
  <w:footnote w:type="continuationSeparator" w:id="0">
    <w:p w:rsidR="00124C0D" w:rsidRDefault="00124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D39"/>
    <w:multiLevelType w:val="multilevel"/>
    <w:tmpl w:val="42841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400" w:hanging="180"/>
      </w:pPr>
    </w:lvl>
  </w:abstractNum>
  <w:abstractNum w:abstractNumId="1" w15:restartNumberingAfterBreak="0">
    <w:nsid w:val="08392FA1"/>
    <w:multiLevelType w:val="multilevel"/>
    <w:tmpl w:val="00A06B26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0" w:hanging="180"/>
      </w:pPr>
    </w:lvl>
  </w:abstractNum>
  <w:abstractNum w:abstractNumId="2" w15:restartNumberingAfterBreak="0">
    <w:nsid w:val="09CB68D1"/>
    <w:multiLevelType w:val="multilevel"/>
    <w:tmpl w:val="C2DE4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5A023E"/>
    <w:multiLevelType w:val="multilevel"/>
    <w:tmpl w:val="559CA6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C44CF1"/>
    <w:multiLevelType w:val="multilevel"/>
    <w:tmpl w:val="E8CC92CE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3C73F4"/>
    <w:multiLevelType w:val="multilevel"/>
    <w:tmpl w:val="64E66B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BCF1093"/>
    <w:multiLevelType w:val="multilevel"/>
    <w:tmpl w:val="2D5449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8876CF1"/>
    <w:multiLevelType w:val="multilevel"/>
    <w:tmpl w:val="5C92E9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E311BFF"/>
    <w:multiLevelType w:val="multilevel"/>
    <w:tmpl w:val="5D8AD55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5EE"/>
    <w:rsid w:val="00124C0D"/>
    <w:rsid w:val="002B35EE"/>
    <w:rsid w:val="004253E0"/>
    <w:rsid w:val="00C70CFE"/>
    <w:rsid w:val="00D14C29"/>
    <w:rsid w:val="00EC3E85"/>
    <w:rsid w:val="00F4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51E5"/>
  <w15:docId w15:val="{FFC43FB4-5024-4AD6-A242-A435218D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A9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A53D7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qFormat/>
    <w:rsid w:val="0094034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4F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955D5C"/>
    <w:rPr>
      <w:rFonts w:ascii="Tahoma" w:hAnsi="Tahoma" w:cs="Tahoma"/>
      <w:sz w:val="16"/>
      <w:szCs w:val="16"/>
    </w:rPr>
  </w:style>
  <w:style w:type="character" w:customStyle="1" w:styleId="WW8Num5z0">
    <w:name w:val="WW8Num5z0"/>
    <w:qFormat/>
    <w:rsid w:val="00F55B9E"/>
    <w:rPr>
      <w:color w:val="auto"/>
      <w:sz w:val="26"/>
    </w:rPr>
  </w:style>
  <w:style w:type="character" w:customStyle="1" w:styleId="a4">
    <w:name w:val="Текст сноски Знак"/>
    <w:basedOn w:val="a0"/>
    <w:qFormat/>
    <w:rsid w:val="00210B89"/>
    <w:rPr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210B89"/>
    <w:rPr>
      <w:vertAlign w:val="superscript"/>
    </w:rPr>
  </w:style>
  <w:style w:type="character" w:customStyle="1" w:styleId="20">
    <w:name w:val="Заголовок 2 Знак"/>
    <w:basedOn w:val="a0"/>
    <w:link w:val="2"/>
    <w:qFormat/>
    <w:rsid w:val="009403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">
    <w:name w:val="Заголовок 2 Знак1"/>
    <w:basedOn w:val="a0"/>
    <w:qFormat/>
    <w:rsid w:val="009403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04F4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6">
    <w:name w:val="Основной текст Знак"/>
    <w:basedOn w:val="a0"/>
    <w:uiPriority w:val="99"/>
    <w:qFormat/>
    <w:rsid w:val="00404F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404F4A"/>
    <w:rPr>
      <w:color w:val="0000FF"/>
      <w:u w:val="single"/>
    </w:rPr>
  </w:style>
  <w:style w:type="character" w:customStyle="1" w:styleId="a7">
    <w:name w:val="Верхний колонтитул Знак"/>
    <w:basedOn w:val="a0"/>
    <w:uiPriority w:val="99"/>
    <w:qFormat/>
    <w:rsid w:val="00404F4A"/>
  </w:style>
  <w:style w:type="character" w:customStyle="1" w:styleId="a8">
    <w:name w:val="Нижний колонтитул Знак"/>
    <w:basedOn w:val="a0"/>
    <w:uiPriority w:val="99"/>
    <w:qFormat/>
    <w:rsid w:val="00404F4A"/>
  </w:style>
  <w:style w:type="character" w:customStyle="1" w:styleId="31">
    <w:name w:val="Основной текст (3)"/>
    <w:basedOn w:val="a0"/>
    <w:qFormat/>
    <w:rsid w:val="00361F4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10"/>
      <w:sz w:val="26"/>
      <w:szCs w:val="26"/>
    </w:rPr>
  </w:style>
  <w:style w:type="character" w:customStyle="1" w:styleId="a9">
    <w:name w:val="Абзац списка Знак"/>
    <w:uiPriority w:val="34"/>
    <w:qFormat/>
    <w:rsid w:val="00164167"/>
  </w:style>
  <w:style w:type="character" w:customStyle="1" w:styleId="markedcontent">
    <w:name w:val="markedcontent"/>
    <w:basedOn w:val="a0"/>
    <w:qFormat/>
    <w:rsid w:val="00681C18"/>
  </w:style>
  <w:style w:type="character" w:customStyle="1" w:styleId="22">
    <w:name w:val="Основной текст с отступом 2 Знак"/>
    <w:basedOn w:val="a0"/>
    <w:link w:val="22"/>
    <w:uiPriority w:val="99"/>
    <w:semiHidden/>
    <w:qFormat/>
    <w:rsid w:val="001F76FB"/>
  </w:style>
  <w:style w:type="character" w:customStyle="1" w:styleId="210">
    <w:name w:val="Основной текст с отступом 2 Знак1"/>
    <w:basedOn w:val="a0"/>
    <w:link w:val="23"/>
    <w:qFormat/>
    <w:rsid w:val="00A2049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7"/>
      <w:szCs w:val="27"/>
      <w:u w:val="none"/>
      <w:lang w:val="ru-RU"/>
    </w:rPr>
  </w:style>
  <w:style w:type="character" w:customStyle="1" w:styleId="10">
    <w:name w:val="Заголовок 1 Знак"/>
    <w:basedOn w:val="a0"/>
    <w:link w:val="1"/>
    <w:qFormat/>
    <w:rsid w:val="005A53D7"/>
    <w:rPr>
      <w:rFonts w:ascii="Arial" w:eastAsia="Calibri" w:hAnsi="Arial" w:cs="Arial"/>
      <w:b/>
      <w:bCs/>
      <w:kern w:val="2"/>
      <w:sz w:val="32"/>
      <w:szCs w:val="32"/>
    </w:rPr>
  </w:style>
  <w:style w:type="character" w:customStyle="1" w:styleId="Normal14">
    <w:name w:val="Normal 14 Знак"/>
    <w:basedOn w:val="10"/>
    <w:link w:val="Normal14"/>
    <w:qFormat/>
    <w:rsid w:val="00676E6C"/>
    <w:rPr>
      <w:rFonts w:ascii="Times New Roman" w:eastAsia="Times New Roman" w:hAnsi="Times New Roman" w:cs="Times New Roman"/>
      <w:b w:val="0"/>
      <w:bCs w:val="0"/>
      <w:kern w:val="2"/>
      <w:sz w:val="28"/>
      <w:szCs w:val="28"/>
    </w:rPr>
  </w:style>
  <w:style w:type="character" w:customStyle="1" w:styleId="FontStyle12">
    <w:name w:val="Font Style12"/>
    <w:qFormat/>
    <w:rsid w:val="005D2379"/>
    <w:rPr>
      <w:rFonts w:ascii="Times New Roman" w:hAnsi="Times New Roman" w:cs="Times New Roman"/>
      <w:sz w:val="26"/>
      <w:szCs w:val="26"/>
    </w:rPr>
  </w:style>
  <w:style w:type="character" w:customStyle="1" w:styleId="aa">
    <w:name w:val="Заголовок Знак"/>
    <w:basedOn w:val="a0"/>
    <w:qFormat/>
    <w:rsid w:val="00A650B2"/>
    <w:rPr>
      <w:rFonts w:ascii="Arial" w:eastAsia="Calibri" w:hAnsi="Arial" w:cs="Times New Roman"/>
      <w:b/>
      <w:sz w:val="28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FC6ABC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paragraph" w:styleId="ac">
    <w:name w:val="Title"/>
    <w:basedOn w:val="a"/>
    <w:next w:val="ad"/>
    <w:qFormat/>
    <w:rsid w:val="00A650B2"/>
    <w:pPr>
      <w:spacing w:after="0" w:line="240" w:lineRule="auto"/>
      <w:jc w:val="center"/>
      <w:textAlignment w:val="baseline"/>
    </w:pPr>
    <w:rPr>
      <w:rFonts w:ascii="Arial" w:eastAsia="Calibri" w:hAnsi="Arial" w:cs="Times New Roman"/>
      <w:b/>
      <w:sz w:val="28"/>
      <w:szCs w:val="20"/>
    </w:rPr>
  </w:style>
  <w:style w:type="paragraph" w:styleId="ad">
    <w:name w:val="Body Text"/>
    <w:basedOn w:val="Default"/>
    <w:next w:val="Default"/>
    <w:uiPriority w:val="99"/>
    <w:rsid w:val="00404F4A"/>
    <w:rPr>
      <w:rFonts w:eastAsia="Times New Roman"/>
      <w:color w:val="auto"/>
    </w:r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Default">
    <w:name w:val="Default"/>
    <w:qFormat/>
    <w:rsid w:val="00123DEE"/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alloon Text"/>
    <w:basedOn w:val="a"/>
    <w:uiPriority w:val="99"/>
    <w:semiHidden/>
    <w:unhideWhenUsed/>
    <w:qFormat/>
    <w:rsid w:val="00955D5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footnote text"/>
    <w:basedOn w:val="a"/>
    <w:unhideWhenUsed/>
    <w:rsid w:val="00210B89"/>
    <w:pPr>
      <w:spacing w:after="0" w:line="240" w:lineRule="auto"/>
    </w:pPr>
    <w:rPr>
      <w:sz w:val="20"/>
      <w:szCs w:val="20"/>
    </w:rPr>
  </w:style>
  <w:style w:type="paragraph" w:styleId="af3">
    <w:name w:val="List Paragraph"/>
    <w:basedOn w:val="a"/>
    <w:uiPriority w:val="34"/>
    <w:qFormat/>
    <w:rsid w:val="004F73D0"/>
    <w:pPr>
      <w:ind w:left="720"/>
      <w:contextualSpacing/>
    </w:p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404F4A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footer"/>
    <w:basedOn w:val="a"/>
    <w:uiPriority w:val="99"/>
    <w:unhideWhenUsed/>
    <w:rsid w:val="00404F4A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Normal (Web)"/>
    <w:basedOn w:val="a"/>
    <w:uiPriority w:val="99"/>
    <w:unhideWhenUsed/>
    <w:qFormat/>
    <w:rsid w:val="001A0B8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FA508E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Iauiue">
    <w:name w:val="Iau.iue"/>
    <w:basedOn w:val="a"/>
    <w:next w:val="a"/>
    <w:qFormat/>
    <w:rsid w:val="00942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10"/>
    <w:uiPriority w:val="99"/>
    <w:semiHidden/>
    <w:unhideWhenUsed/>
    <w:qFormat/>
    <w:rsid w:val="001F76FB"/>
    <w:pPr>
      <w:spacing w:after="120" w:line="480" w:lineRule="auto"/>
      <w:ind w:left="283"/>
    </w:pPr>
  </w:style>
  <w:style w:type="paragraph" w:styleId="af8">
    <w:name w:val="TOC Heading"/>
    <w:basedOn w:val="1"/>
    <w:next w:val="a"/>
    <w:uiPriority w:val="39"/>
    <w:unhideWhenUsed/>
    <w:qFormat/>
    <w:rsid w:val="00DE14D6"/>
    <w:pPr>
      <w:keepLines/>
      <w:spacing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1">
    <w:name w:val="toc 1"/>
    <w:basedOn w:val="a"/>
    <w:next w:val="a"/>
    <w:autoRedefine/>
    <w:uiPriority w:val="39"/>
    <w:unhideWhenUsed/>
    <w:rsid w:val="00DE14D6"/>
    <w:pPr>
      <w:spacing w:after="100"/>
    </w:pPr>
  </w:style>
  <w:style w:type="paragraph" w:styleId="af9">
    <w:name w:val="Revision"/>
    <w:uiPriority w:val="99"/>
    <w:semiHidden/>
    <w:qFormat/>
    <w:rsid w:val="00F3540D"/>
  </w:style>
  <w:style w:type="paragraph" w:customStyle="1" w:styleId="afa">
    <w:name w:val="Знак Знак Знак Знак"/>
    <w:basedOn w:val="a"/>
    <w:qFormat/>
    <w:rsid w:val="00EE7C97"/>
    <w:pPr>
      <w:tabs>
        <w:tab w:val="left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Normal140">
    <w:name w:val="Normal 14"/>
    <w:basedOn w:val="a"/>
    <w:qFormat/>
    <w:rsid w:val="00676E6C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paragraph" w:customStyle="1" w:styleId="Style2">
    <w:name w:val="Style2"/>
    <w:basedOn w:val="a"/>
    <w:qFormat/>
    <w:rsid w:val="005D2379"/>
    <w:pPr>
      <w:widowControl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qFormat/>
    <w:rsid w:val="005D2379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310">
    <w:name w:val="Основной текст 31"/>
    <w:basedOn w:val="a"/>
    <w:qFormat/>
    <w:rsid w:val="005D2379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table" w:styleId="afb">
    <w:name w:val="Table Grid"/>
    <w:basedOn w:val="a1"/>
    <w:uiPriority w:val="39"/>
    <w:rsid w:val="00842E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unhideWhenUsed/>
    <w:rsid w:val="00C70C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" TargetMode="Externa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fsb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ndc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br.ru/about_br/publ/ondkp/on_2022_2024" TargetMode="External"/><Relationship Id="rId17" Type="http://schemas.openxmlformats.org/officeDocument/2006/relationships/hyperlink" Target="http://www.bis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asv.org/" TargetMode="External"/><Relationship Id="rId20" Type="http://schemas.openxmlformats.org/officeDocument/2006/relationships/hyperlink" Target="http://www.cbond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url:https://cbr.ru/Content/Document/File/84497/str_30032018.pd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cbr.ru/" TargetMode="External"/><Relationship Id="rId23" Type="http://schemas.openxmlformats.org/officeDocument/2006/relationships/hyperlink" Target="http://www.rvs.ru/" TargetMode="External"/><Relationship Id="rId10" Type="http://schemas.openxmlformats.org/officeDocument/2006/relationships/hyperlink" Target="http://static.government.ru/media/files/uQZdLRrkPLAdEVdaBsQrk505szCcL4PA.pdf" TargetMode="External"/><Relationship Id="rId19" Type="http://schemas.openxmlformats.org/officeDocument/2006/relationships/hyperlink" Target="http://www.mmv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://www.rv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23FD8-5A75-4EC3-B820-AEBEE94FA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7865</Words>
  <Characters>44835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dc:description/>
  <cp:lastModifiedBy>Айрапетян Каринэ Петросовна</cp:lastModifiedBy>
  <cp:revision>5</cp:revision>
  <cp:lastPrinted>2024-05-22T16:00:00Z</cp:lastPrinted>
  <dcterms:created xsi:type="dcterms:W3CDTF">2024-05-23T12:11:00Z</dcterms:created>
  <dcterms:modified xsi:type="dcterms:W3CDTF">2024-06-06T13:58:00Z</dcterms:modified>
  <dc:language>ru-RU</dc:language>
</cp:coreProperties>
</file>